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31" w:rsidRDefault="00124F31" w:rsidP="00F97153">
      <w:pPr>
        <w:jc w:val="both"/>
        <w:rPr>
          <w:b/>
          <w:bCs/>
          <w:lang w:val="ca-ES"/>
        </w:rPr>
      </w:pPr>
    </w:p>
    <w:p w:rsidR="00AE69F1" w:rsidRDefault="001E51FE" w:rsidP="00F97153">
      <w:pPr>
        <w:widowControl w:val="0"/>
        <w:autoSpaceDE w:val="0"/>
        <w:autoSpaceDN w:val="0"/>
        <w:adjustRightInd w:val="0"/>
        <w:spacing w:line="283" w:lineRule="atLeast"/>
        <w:jc w:val="both"/>
        <w:rPr>
          <w:b/>
          <w:bCs/>
          <w:lang w:val="ca-ES"/>
        </w:rPr>
      </w:pPr>
      <w:r w:rsidRPr="001E51FE">
        <w:rPr>
          <w:noProof/>
        </w:rPr>
        <w:pict>
          <v:rect id="_x0000_s1026" style="position:absolute;left:0;text-align:left;margin-left:0;margin-top:-.05pt;width:439.75pt;height:30pt;z-index:251657728;mso-position-horizontal:left;mso-position-horizontal-relative:margin;mso-position-vertical-relative:margin" o:allowoverlap="f" stroked="f">
            <v:textbox style="mso-next-textbox:#_x0000_s1026" inset="0,0,0,0">
              <w:txbxContent>
                <w:p w:rsidR="00AE69F1" w:rsidRPr="0086529E" w:rsidRDefault="00FE3810">
                  <w:pPr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4" w:color="auto" w:shadow="1"/>
                    </w:pBdr>
                    <w:shd w:val="clear" w:color="auto" w:fill="C0C0C0"/>
                    <w:rPr>
                      <w:b/>
                      <w:bCs/>
                      <w:lang w:val="en-US"/>
                    </w:rPr>
                  </w:pPr>
                  <w:proofErr w:type="gramStart"/>
                  <w:r>
                    <w:rPr>
                      <w:b/>
                      <w:bCs/>
                      <w:lang w:val="en-US"/>
                    </w:rPr>
                    <w:t>1</w:t>
                  </w:r>
                  <w:r w:rsidR="00143148" w:rsidRPr="0086529E">
                    <w:rPr>
                      <w:b/>
                      <w:bCs/>
                      <w:lang w:val="en-US"/>
                    </w:rPr>
                    <w:t>.-</w:t>
                  </w:r>
                  <w:proofErr w:type="gramEnd"/>
                  <w:r w:rsidR="00143148" w:rsidRPr="0086529E">
                    <w:rPr>
                      <w:b/>
                      <w:bCs/>
                      <w:lang w:val="en-US"/>
                    </w:rPr>
                    <w:t xml:space="preserve"> </w:t>
                  </w:r>
                  <w:r w:rsidR="0086529E" w:rsidRPr="0086529E">
                    <w:rPr>
                      <w:b/>
                      <w:bCs/>
                      <w:lang w:val="en-US"/>
                    </w:rPr>
                    <w:t xml:space="preserve">PRINCIPIS IMMEDIATS. </w:t>
                  </w:r>
                  <w:proofErr w:type="gramStart"/>
                  <w:r w:rsidR="0086529E" w:rsidRPr="0086529E">
                    <w:rPr>
                      <w:b/>
                      <w:bCs/>
                      <w:lang w:val="en-US"/>
                    </w:rPr>
                    <w:t>ELS SUCRES</w:t>
                  </w:r>
                  <w:r w:rsidR="00AE69F1" w:rsidRPr="0086529E">
                    <w:rPr>
                      <w:b/>
                      <w:bCs/>
                      <w:lang w:val="en-US"/>
                    </w:rPr>
                    <w:t>.</w:t>
                  </w:r>
                  <w:proofErr w:type="gramEnd"/>
                  <w:r w:rsidR="0086529E" w:rsidRPr="0086529E"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gramStart"/>
                  <w:r w:rsidR="0086529E" w:rsidRPr="0086529E">
                    <w:rPr>
                      <w:b/>
                      <w:bCs/>
                      <w:lang w:val="en-US"/>
                    </w:rPr>
                    <w:t>PROVA DE FEHLING</w:t>
                  </w:r>
                  <w:r w:rsidR="00143148" w:rsidRPr="0086529E">
                    <w:rPr>
                      <w:b/>
                      <w:bCs/>
                      <w:lang w:val="en-US"/>
                    </w:rPr>
                    <w:t>.</w:t>
                  </w:r>
                  <w:proofErr w:type="gramEnd"/>
                </w:p>
              </w:txbxContent>
            </v:textbox>
            <w10:wrap type="topAndBottom" anchorx="margin" anchory="margin"/>
          </v:rect>
        </w:pict>
      </w:r>
    </w:p>
    <w:p w:rsidR="00AE69F1" w:rsidRDefault="00AE69F1" w:rsidP="00F971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3" w:lineRule="atLeast"/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Objectius</w:t>
      </w:r>
      <w:r>
        <w:rPr>
          <w:b/>
          <w:bCs/>
          <w:lang w:val="ca-ES"/>
        </w:rPr>
        <w:t>:</w:t>
      </w:r>
    </w:p>
    <w:p w:rsidR="00AE69F1" w:rsidRDefault="00AE69F1" w:rsidP="00F97153">
      <w:pPr>
        <w:widowControl w:val="0"/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</w:p>
    <w:p w:rsidR="00AE69F1" w:rsidRDefault="0086529E" w:rsidP="00F97153">
      <w:pPr>
        <w:pStyle w:val="Estndard"/>
        <w:ind w:left="360" w:firstLine="0"/>
        <w:jc w:val="both"/>
        <w:rPr>
          <w:u w:val="single"/>
          <w:lang w:val="ca-ES"/>
        </w:rPr>
      </w:pPr>
      <w:r>
        <w:rPr>
          <w:lang w:val="ca-ES"/>
        </w:rPr>
        <w:t>Observar la reducció de l'ió Cu</w:t>
      </w:r>
      <w:r w:rsidRPr="0086529E">
        <w:rPr>
          <w:vertAlign w:val="superscript"/>
          <w:lang w:val="ca-ES"/>
        </w:rPr>
        <w:t>2+</w:t>
      </w:r>
      <w:r>
        <w:rPr>
          <w:lang w:val="ca-ES"/>
        </w:rPr>
        <w:t xml:space="preserve">, a </w:t>
      </w:r>
      <w:r w:rsidR="00285938">
        <w:rPr>
          <w:lang w:val="ca-ES"/>
        </w:rPr>
        <w:t>ió</w:t>
      </w:r>
      <w:r w:rsidR="00C23D73">
        <w:rPr>
          <w:lang w:val="ca-ES"/>
        </w:rPr>
        <w:t xml:space="preserve"> Cu</w:t>
      </w:r>
      <w:r w:rsidR="00C23D73" w:rsidRPr="00C23D73">
        <w:rPr>
          <w:vertAlign w:val="superscript"/>
          <w:lang w:val="ca-ES"/>
        </w:rPr>
        <w:t>+</w:t>
      </w:r>
      <w:r w:rsidR="00C23D73">
        <w:rPr>
          <w:lang w:val="ca-ES"/>
        </w:rPr>
        <w:t xml:space="preserve"> (Si la reacció és molt intensa precipitarà </w:t>
      </w:r>
      <w:r>
        <w:rPr>
          <w:lang w:val="ca-ES"/>
        </w:rPr>
        <w:t>Cu</w:t>
      </w:r>
      <w:r w:rsidRPr="0086529E">
        <w:rPr>
          <w:vertAlign w:val="subscript"/>
          <w:lang w:val="ca-ES"/>
        </w:rPr>
        <w:t>2</w:t>
      </w:r>
      <w:r w:rsidR="00C23D73">
        <w:rPr>
          <w:lang w:val="ca-ES"/>
        </w:rPr>
        <w:t>O)</w:t>
      </w:r>
      <w:r>
        <w:rPr>
          <w:lang w:val="ca-ES"/>
        </w:rPr>
        <w:t xml:space="preserve"> en medi aquós pels sucres reductors</w:t>
      </w:r>
      <w:r w:rsidR="00143148">
        <w:rPr>
          <w:lang w:val="ca-ES"/>
        </w:rPr>
        <w:t>.</w:t>
      </w:r>
      <w:r w:rsidR="00AE69F1">
        <w:rPr>
          <w:u w:val="single"/>
          <w:lang w:val="ca-ES"/>
        </w:rPr>
        <w:t xml:space="preserve"> </w:t>
      </w:r>
    </w:p>
    <w:p w:rsidR="00AE69F1" w:rsidRDefault="00AE69F1" w:rsidP="00F97153">
      <w:pPr>
        <w:pStyle w:val="Estndard"/>
        <w:ind w:left="720" w:firstLine="0"/>
        <w:jc w:val="both"/>
        <w:rPr>
          <w:b/>
          <w:bCs/>
          <w:u w:val="single"/>
          <w:lang w:val="ca-ES"/>
        </w:rPr>
      </w:pPr>
    </w:p>
    <w:p w:rsidR="00AE69F1" w:rsidRDefault="00AE69F1" w:rsidP="00F971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Material</w:t>
      </w:r>
      <w:r>
        <w:rPr>
          <w:b/>
          <w:bCs/>
          <w:lang w:val="ca-ES"/>
        </w:rPr>
        <w:t>:</w:t>
      </w:r>
    </w:p>
    <w:p w:rsidR="00AE69F1" w:rsidRDefault="00AE69F1" w:rsidP="00F97153">
      <w:pPr>
        <w:widowControl w:val="0"/>
        <w:autoSpaceDE w:val="0"/>
        <w:autoSpaceDN w:val="0"/>
        <w:adjustRightInd w:val="0"/>
        <w:spacing w:line="240" w:lineRule="atLeast"/>
        <w:jc w:val="both"/>
        <w:rPr>
          <w:lang w:val="ca-ES"/>
        </w:rPr>
      </w:pPr>
    </w:p>
    <w:p w:rsidR="00AE69F1" w:rsidRDefault="0086529E" w:rsidP="00F97153">
      <w:pPr>
        <w:pStyle w:val="Sangra3detindependiente"/>
        <w:spacing w:line="240" w:lineRule="atLeast"/>
      </w:pPr>
      <w:r>
        <w:t xml:space="preserve">Beguda comercial dolça (vi, most, </w:t>
      </w:r>
      <w:r w:rsidR="00285938">
        <w:t>cerve</w:t>
      </w:r>
      <w:r>
        <w:t>sa, llimonada, taronjada, cola)</w:t>
      </w:r>
      <w:r w:rsidR="00634107">
        <w:t>, licor de Fe</w:t>
      </w:r>
      <w:r>
        <w:t>h</w:t>
      </w:r>
      <w:r w:rsidR="00634107">
        <w:t>ling A, licor de Fe</w:t>
      </w:r>
      <w:r>
        <w:t>hling B</w:t>
      </w:r>
      <w:r w:rsidR="00A750F4">
        <w:t>, àcid clorhídric 0,1M</w:t>
      </w:r>
      <w:r>
        <w:t>,</w:t>
      </w:r>
      <w:r w:rsidR="00A750F4">
        <w:t xml:space="preserve"> hidròxid de sodi 0,1M,</w:t>
      </w:r>
      <w:r>
        <w:t xml:space="preserve"> bec de bunsen, tubs d'assaig</w:t>
      </w:r>
      <w:r w:rsidR="00DE5D34">
        <w:t>, paper de filtre, embut de forma alemanya</w:t>
      </w:r>
      <w:r w:rsidR="006A36C9">
        <w:t>, pinces de tub d'assaig</w:t>
      </w:r>
      <w:r w:rsidR="00DE5D34">
        <w:t>.</w:t>
      </w:r>
    </w:p>
    <w:p w:rsidR="00AE69F1" w:rsidRDefault="00AE69F1" w:rsidP="00F97153">
      <w:pPr>
        <w:widowControl w:val="0"/>
        <w:autoSpaceDE w:val="0"/>
        <w:autoSpaceDN w:val="0"/>
        <w:adjustRightInd w:val="0"/>
        <w:spacing w:line="240" w:lineRule="atLeast"/>
        <w:jc w:val="both"/>
        <w:rPr>
          <w:lang w:val="ca-ES"/>
        </w:rPr>
      </w:pPr>
    </w:p>
    <w:p w:rsidR="00AE69F1" w:rsidRDefault="00AE69F1" w:rsidP="00F971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8" w:lineRule="atLeast"/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Procediment</w:t>
      </w:r>
      <w:r>
        <w:rPr>
          <w:b/>
          <w:bCs/>
          <w:lang w:val="ca-ES"/>
        </w:rPr>
        <w:t>:</w:t>
      </w:r>
    </w:p>
    <w:p w:rsidR="00AE69F1" w:rsidRDefault="00AE69F1" w:rsidP="00F97153">
      <w:pPr>
        <w:widowControl w:val="0"/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</w:p>
    <w:p w:rsidR="00EC5BA3" w:rsidRDefault="00EC5BA3" w:rsidP="00F97153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bookmarkStart w:id="0" w:name="_Ref477630727"/>
      <w:r>
        <w:rPr>
          <w:lang w:val="ca-ES"/>
        </w:rPr>
        <w:t>Primera part, determinació de la prova de Fehling a diferents begudes dolces.</w:t>
      </w:r>
      <w:bookmarkEnd w:id="0"/>
    </w:p>
    <w:p w:rsidR="00935E4B" w:rsidRDefault="00935E4B" w:rsidP="00F97153">
      <w:pPr>
        <w:widowControl w:val="0"/>
        <w:autoSpaceDE w:val="0"/>
        <w:autoSpaceDN w:val="0"/>
        <w:adjustRightInd w:val="0"/>
        <w:spacing w:line="278" w:lineRule="atLeast"/>
        <w:ind w:left="720"/>
        <w:jc w:val="both"/>
        <w:rPr>
          <w:lang w:val="ca-ES"/>
        </w:rPr>
      </w:pPr>
    </w:p>
    <w:p w:rsidR="00634107" w:rsidRDefault="0086529E" w:rsidP="00F97153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bookmarkStart w:id="1" w:name="_Ref477630465"/>
      <w:r>
        <w:rPr>
          <w:lang w:val="ca-ES"/>
        </w:rPr>
        <w:t>Omp</w:t>
      </w:r>
      <w:r w:rsidR="00EC5BA3">
        <w:rPr>
          <w:lang w:val="ca-ES"/>
        </w:rPr>
        <w:t>liu</w:t>
      </w:r>
      <w:r w:rsidR="00634107">
        <w:rPr>
          <w:lang w:val="ca-ES"/>
        </w:rPr>
        <w:t xml:space="preserve"> dos tubs d'assaigs amb </w:t>
      </w:r>
      <w:r w:rsidR="00A750F4">
        <w:rPr>
          <w:lang w:val="ca-ES"/>
        </w:rPr>
        <w:t xml:space="preserve">3 ml de </w:t>
      </w:r>
      <w:r w:rsidR="00634107">
        <w:rPr>
          <w:lang w:val="ca-ES"/>
        </w:rPr>
        <w:t>les begudes dolces què se</w:t>
      </w:r>
      <w:r w:rsidR="00A750F4">
        <w:rPr>
          <w:lang w:val="ca-ES"/>
        </w:rPr>
        <w:t>'</w:t>
      </w:r>
      <w:r w:rsidR="00634107">
        <w:rPr>
          <w:lang w:val="ca-ES"/>
        </w:rPr>
        <w:t>t proposen.</w:t>
      </w:r>
      <w:bookmarkEnd w:id="1"/>
    </w:p>
    <w:p w:rsidR="00A750F4" w:rsidRDefault="00C23D73" w:rsidP="00F97153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bookmarkStart w:id="2" w:name="_Ref477629439"/>
      <w:r>
        <w:rPr>
          <w:lang w:val="ca-ES"/>
        </w:rPr>
        <w:t>Afegiu</w:t>
      </w:r>
      <w:r w:rsidR="00A750F4">
        <w:rPr>
          <w:lang w:val="ca-ES"/>
        </w:rPr>
        <w:t xml:space="preserve"> 1 ml de la dissolució de Fehling A i un altre ml de la dissolució de Fehling B als tubs d'assaig.</w:t>
      </w:r>
      <w:bookmarkEnd w:id="2"/>
    </w:p>
    <w:p w:rsidR="00A750F4" w:rsidRDefault="006A36C9" w:rsidP="00F97153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bookmarkStart w:id="3" w:name="_Ref477629444"/>
      <w:r>
        <w:rPr>
          <w:lang w:val="ca-ES"/>
        </w:rPr>
        <w:t>Agafeu un a un els tubs d'assaig amb les pinces i els escalfeu</w:t>
      </w:r>
      <w:r w:rsidR="00A750F4">
        <w:rPr>
          <w:lang w:val="ca-ES"/>
        </w:rPr>
        <w:t xml:space="preserve"> amb el bec de bunsen</w:t>
      </w:r>
      <w:r w:rsidR="00634107">
        <w:rPr>
          <w:lang w:val="ca-ES"/>
        </w:rPr>
        <w:t xml:space="preserve"> </w:t>
      </w:r>
      <w:r w:rsidR="00A750F4">
        <w:rPr>
          <w:lang w:val="ca-ES"/>
        </w:rPr>
        <w:t>fins que bullin.</w:t>
      </w:r>
      <w:bookmarkEnd w:id="3"/>
      <w:r w:rsidR="00C80085">
        <w:rPr>
          <w:lang w:val="ca-ES"/>
        </w:rPr>
        <w:t xml:space="preserve"> </w:t>
      </w:r>
      <w:r w:rsidR="00C80085" w:rsidRPr="00C80085">
        <w:rPr>
          <w:b/>
          <w:sz w:val="22"/>
          <w:szCs w:val="22"/>
          <w:u w:val="single"/>
          <w:lang w:val="ca-ES"/>
        </w:rPr>
        <w:t>Atenció si hi ha companys vostres treballant amb productes inflamables no podeu utilitzar un muntatge per a foc, llavors heu d’escalfar amb una manta tèrmica!</w:t>
      </w:r>
    </w:p>
    <w:p w:rsidR="00A750F4" w:rsidRDefault="00C23D73" w:rsidP="00F97153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bookmarkStart w:id="4" w:name="_Ref477629446"/>
      <w:r>
        <w:rPr>
          <w:lang w:val="ca-ES"/>
        </w:rPr>
        <w:t>Observeu</w:t>
      </w:r>
      <w:r w:rsidR="00A750F4">
        <w:rPr>
          <w:lang w:val="ca-ES"/>
        </w:rPr>
        <w:t xml:space="preserve"> si dona reacció amb la dissolució de Fehling:</w:t>
      </w:r>
      <w:bookmarkEnd w:id="4"/>
    </w:p>
    <w:p w:rsidR="00A750F4" w:rsidRDefault="00A750F4" w:rsidP="00F97153">
      <w:pPr>
        <w:widowControl w:val="0"/>
        <w:numPr>
          <w:ilvl w:val="3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>Si la reacció és positiva, el tub d'assaig es tenyirà de color vermell, amb un precipitat de color ocre.</w:t>
      </w:r>
    </w:p>
    <w:p w:rsidR="00A750F4" w:rsidRDefault="00A750F4" w:rsidP="00F97153">
      <w:pPr>
        <w:widowControl w:val="0"/>
        <w:numPr>
          <w:ilvl w:val="3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 xml:space="preserve">Si la reacció és negativa, </w:t>
      </w:r>
      <w:r w:rsidR="00C23D73">
        <w:rPr>
          <w:lang w:val="ca-ES"/>
        </w:rPr>
        <w:t>el tub d'assaig es quedarà amb el color blau inicial.</w:t>
      </w:r>
    </w:p>
    <w:p w:rsidR="00935E4B" w:rsidRDefault="00935E4B" w:rsidP="00F97153">
      <w:pPr>
        <w:widowControl w:val="0"/>
        <w:autoSpaceDE w:val="0"/>
        <w:autoSpaceDN w:val="0"/>
        <w:adjustRightInd w:val="0"/>
        <w:spacing w:line="278" w:lineRule="atLeast"/>
        <w:ind w:left="720"/>
        <w:jc w:val="both"/>
        <w:rPr>
          <w:lang w:val="ca-ES"/>
        </w:rPr>
      </w:pPr>
      <w:bookmarkStart w:id="5" w:name="_Ref477630729"/>
    </w:p>
    <w:p w:rsidR="00EC5BA3" w:rsidRDefault="00EC5BA3" w:rsidP="00F97153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>Segona part, hidròlisi de la sacarosa.</w:t>
      </w:r>
      <w:bookmarkEnd w:id="5"/>
    </w:p>
    <w:p w:rsidR="00935E4B" w:rsidRDefault="00935E4B" w:rsidP="00F97153">
      <w:pPr>
        <w:widowControl w:val="0"/>
        <w:autoSpaceDE w:val="0"/>
        <w:autoSpaceDN w:val="0"/>
        <w:adjustRightInd w:val="0"/>
        <w:spacing w:line="278" w:lineRule="atLeast"/>
        <w:ind w:left="720"/>
        <w:jc w:val="both"/>
        <w:rPr>
          <w:lang w:val="ca-ES"/>
        </w:rPr>
      </w:pPr>
    </w:p>
    <w:p w:rsidR="00C23D73" w:rsidRDefault="00C23D73" w:rsidP="00F97153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>A un altre tub d'assaig preneu 3 ml de la beguda què ha donat reacció negativa.</w:t>
      </w:r>
    </w:p>
    <w:p w:rsidR="00C23D73" w:rsidRDefault="00C23D73" w:rsidP="00F97153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>Afegiu-li 3 gotes de solució d'àcid clorhídric 0,1M.</w:t>
      </w:r>
    </w:p>
    <w:p w:rsidR="00C23D73" w:rsidRDefault="00C23D73" w:rsidP="00F97153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>Escalfeu una altra vegada amb el bec de bunsen, i deixeu refredar.</w:t>
      </w:r>
    </w:p>
    <w:p w:rsidR="00C23D73" w:rsidRDefault="00C23D73" w:rsidP="00F97153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>Afegiu-li 3 gotes de solució d'hidròxid de sodi 0,1 M.</w:t>
      </w:r>
    </w:p>
    <w:p w:rsidR="00143148" w:rsidRDefault="00C23D73" w:rsidP="00F97153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 xml:space="preserve">Torneu a fer les passes </w:t>
      </w:r>
      <w:fldSimple w:instr=" REF _Ref477629439 \r \h  \* MERGEFORMAT ">
        <w:r w:rsidR="00EC5BA3">
          <w:rPr>
            <w:lang w:val="ca-ES"/>
          </w:rPr>
          <w:t>a), apartat ii)</w:t>
        </w:r>
      </w:fldSimple>
      <w:r w:rsidR="00EC5BA3">
        <w:rPr>
          <w:lang w:val="ca-ES"/>
        </w:rPr>
        <w:t xml:space="preserve">, </w:t>
      </w:r>
      <w:fldSimple w:instr=" REF _Ref477629444 \r \h  \* MERGEFORMAT ">
        <w:r w:rsidR="00EC5BA3">
          <w:rPr>
            <w:lang w:val="ca-ES"/>
          </w:rPr>
          <w:t>a), apartat iii)</w:t>
        </w:r>
      </w:fldSimple>
      <w:r w:rsidR="00EC5BA3">
        <w:rPr>
          <w:lang w:val="ca-ES"/>
        </w:rPr>
        <w:t xml:space="preserve"> i </w:t>
      </w:r>
      <w:fldSimple w:instr=" REF _Ref477629446 \r \h  \* MERGEFORMAT ">
        <w:r w:rsidR="00EC5BA3">
          <w:rPr>
            <w:lang w:val="ca-ES"/>
          </w:rPr>
          <w:t>a), apartat iv)</w:t>
        </w:r>
      </w:fldSimple>
    </w:p>
    <w:p w:rsidR="00935E4B" w:rsidRPr="00935E4B" w:rsidRDefault="00C23D73" w:rsidP="00F97153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>Fixeu-vos què ara sí ha donat positiu.</w:t>
      </w:r>
    </w:p>
    <w:p w:rsidR="00935E4B" w:rsidRDefault="00935E4B" w:rsidP="00F97153">
      <w:pPr>
        <w:widowControl w:val="0"/>
        <w:autoSpaceDE w:val="0"/>
        <w:autoSpaceDN w:val="0"/>
        <w:adjustRightInd w:val="0"/>
        <w:spacing w:line="278" w:lineRule="atLeast"/>
        <w:ind w:left="720"/>
        <w:jc w:val="both"/>
        <w:rPr>
          <w:lang w:val="ca-ES"/>
        </w:rPr>
      </w:pPr>
      <w:bookmarkStart w:id="6" w:name="_Ref477630793"/>
      <w:bookmarkStart w:id="7" w:name="_Ref477629966"/>
    </w:p>
    <w:p w:rsidR="00EC5BA3" w:rsidRDefault="00EC5BA3" w:rsidP="00F97153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 xml:space="preserve">Tercera part, </w:t>
      </w:r>
      <w:r w:rsidR="009C6393">
        <w:rPr>
          <w:lang w:val="ca-ES"/>
        </w:rPr>
        <w:t>c</w:t>
      </w:r>
      <w:r w:rsidR="00935E4B">
        <w:rPr>
          <w:lang w:val="ca-ES"/>
        </w:rPr>
        <w:t>haptalització</w:t>
      </w:r>
      <w:r>
        <w:rPr>
          <w:lang w:val="ca-ES"/>
        </w:rPr>
        <w:t xml:space="preserve"> de les begudes fermentades.</w:t>
      </w:r>
      <w:bookmarkEnd w:id="6"/>
    </w:p>
    <w:p w:rsidR="00935E4B" w:rsidRDefault="00935E4B" w:rsidP="00F97153">
      <w:pPr>
        <w:widowControl w:val="0"/>
        <w:autoSpaceDE w:val="0"/>
        <w:autoSpaceDN w:val="0"/>
        <w:adjustRightInd w:val="0"/>
        <w:spacing w:line="278" w:lineRule="atLeast"/>
        <w:ind w:left="720"/>
        <w:jc w:val="both"/>
        <w:rPr>
          <w:lang w:val="ca-ES"/>
        </w:rPr>
      </w:pPr>
    </w:p>
    <w:p w:rsidR="00C23D73" w:rsidRDefault="00DE5D34" w:rsidP="00F97153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>Afegiu al tub d'assaig de la beguda què ha donat positiu, gota a gota i comptant les gotes, la dissolució d'hidròxid de sodi 0,1M, fins què precipiti tot l'òxid cuprós (Cu</w:t>
      </w:r>
      <w:r w:rsidRPr="00DE5D34">
        <w:rPr>
          <w:vertAlign w:val="subscript"/>
          <w:lang w:val="ca-ES"/>
        </w:rPr>
        <w:t>2</w:t>
      </w:r>
      <w:r>
        <w:rPr>
          <w:lang w:val="ca-ES"/>
        </w:rPr>
        <w:t>O).</w:t>
      </w:r>
      <w:bookmarkEnd w:id="7"/>
    </w:p>
    <w:p w:rsidR="00DE5D34" w:rsidRDefault="00DE5D34" w:rsidP="00F97153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>Filtreu la dissolució amb un filtre de plecs.</w:t>
      </w:r>
    </w:p>
    <w:p w:rsidR="00DE5D34" w:rsidRDefault="00DE5D34" w:rsidP="00F97153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 xml:space="preserve">Neutralitzeu la dissolució afegint el mateix nombre de gotes d'àcid clorhídric 0,1M, què gotes d'hidròxid de sodi 0,1M heu afegit a l'apartat </w:t>
      </w:r>
      <w:fldSimple w:instr=" REF _Ref477629966 \r \h  \* MERGEFORMAT ">
        <w:r>
          <w:rPr>
            <w:lang w:val="ca-ES"/>
          </w:rPr>
          <w:t>k)</w:t>
        </w:r>
      </w:fldSimple>
      <w:r>
        <w:rPr>
          <w:lang w:val="ca-ES"/>
        </w:rPr>
        <w:t>.</w:t>
      </w:r>
    </w:p>
    <w:p w:rsidR="00DE5D34" w:rsidRDefault="00DE5D34" w:rsidP="00F97153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 xml:space="preserve">Realitzeu una altra vegada les passes </w:t>
      </w:r>
      <w:fldSimple w:instr=" REF _Ref477629439 \r \h  \* MERGEFORMAT ">
        <w:r w:rsidR="00EC5BA3">
          <w:rPr>
            <w:lang w:val="ca-ES"/>
          </w:rPr>
          <w:t>a), apartat ii)</w:t>
        </w:r>
      </w:fldSimple>
      <w:r w:rsidR="00EC5BA3">
        <w:rPr>
          <w:lang w:val="ca-ES"/>
        </w:rPr>
        <w:t xml:space="preserve">, </w:t>
      </w:r>
      <w:fldSimple w:instr=" REF _Ref477629444 \r \h  \* MERGEFORMAT ">
        <w:r w:rsidR="00EC5BA3">
          <w:rPr>
            <w:lang w:val="ca-ES"/>
          </w:rPr>
          <w:t>a), apartat iii)</w:t>
        </w:r>
      </w:fldSimple>
      <w:r w:rsidR="00EC5BA3">
        <w:rPr>
          <w:lang w:val="ca-ES"/>
        </w:rPr>
        <w:t xml:space="preserve"> i </w:t>
      </w:r>
      <w:fldSimple w:instr=" REF _Ref477629446 \r \h  \* MERGEFORMAT ">
        <w:r w:rsidR="00EC5BA3">
          <w:rPr>
            <w:lang w:val="ca-ES"/>
          </w:rPr>
          <w:t>a), apartat iv)</w:t>
        </w:r>
      </w:fldSimple>
      <w:r w:rsidR="00EC5BA3">
        <w:rPr>
          <w:lang w:val="ca-ES"/>
        </w:rPr>
        <w:t>.</w:t>
      </w:r>
    </w:p>
    <w:p w:rsidR="00DE5D34" w:rsidRPr="00DE5D34" w:rsidRDefault="00DE5D34" w:rsidP="00F97153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 w:rsidRPr="00DE5D34">
        <w:rPr>
          <w:lang w:val="ca-ES"/>
        </w:rPr>
        <w:lastRenderedPageBreak/>
        <w:t>Dóna ara positiu o no?</w:t>
      </w:r>
    </w:p>
    <w:p w:rsidR="00AE69F1" w:rsidRDefault="00AE69F1" w:rsidP="00F971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8" w:lineRule="atLeast"/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Qüestions</w:t>
      </w:r>
      <w:r>
        <w:rPr>
          <w:b/>
          <w:bCs/>
          <w:lang w:val="ca-ES"/>
        </w:rPr>
        <w:t>:</w:t>
      </w:r>
    </w:p>
    <w:p w:rsidR="00AE69F1" w:rsidRDefault="00AE69F1" w:rsidP="00F97153">
      <w:pPr>
        <w:widowControl w:val="0"/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</w:p>
    <w:p w:rsidR="00EC5BA3" w:rsidRDefault="00EC5BA3" w:rsidP="00F97153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>
        <w:rPr>
          <w:lang w:val="ca-ES"/>
        </w:rPr>
        <w:t>Busca a la bibliografia les reaccions què succeeixen durant la prova de Feehling.</w:t>
      </w:r>
    </w:p>
    <w:p w:rsidR="00DE5D34" w:rsidRDefault="00EC5BA3" w:rsidP="00F97153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>
        <w:rPr>
          <w:lang w:val="ca-ES"/>
        </w:rPr>
        <w:t>Busca a la bibliografia què és un sucre reductor i un sucre no-reductor.</w:t>
      </w:r>
    </w:p>
    <w:p w:rsidR="00EC5BA3" w:rsidRDefault="00EC5BA3" w:rsidP="00F97153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>
        <w:rPr>
          <w:lang w:val="ca-ES"/>
        </w:rPr>
        <w:t>Compara els teus resultats amb el què has trobat a la bibliografia i dedueix quines begudes contenen sucres reductors i quines contenen sucres no-reductors.</w:t>
      </w:r>
    </w:p>
    <w:p w:rsidR="00EC5BA3" w:rsidRDefault="00EC5BA3" w:rsidP="00F97153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>
        <w:rPr>
          <w:lang w:val="ca-ES"/>
        </w:rPr>
        <w:t>Busca a la bibliografia la hidròlisi de la sacarosa.</w:t>
      </w:r>
    </w:p>
    <w:p w:rsidR="00EC5BA3" w:rsidRDefault="00EC5BA3" w:rsidP="00F97153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>
        <w:rPr>
          <w:lang w:val="ca-ES"/>
        </w:rPr>
        <w:t>Explica amb el què has trobat a la bibliografia perquè la beguda què abans no donava positiu a la prova de Fehling, dona positiu a la segona part.</w:t>
      </w:r>
    </w:p>
    <w:p w:rsidR="00EC5BA3" w:rsidRDefault="00EC5BA3" w:rsidP="00F97153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>
        <w:rPr>
          <w:lang w:val="ca-ES"/>
        </w:rPr>
        <w:t xml:space="preserve">Busca a la bibliografia </w:t>
      </w:r>
      <w:r w:rsidR="00C80085">
        <w:rPr>
          <w:lang w:val="ca-ES"/>
        </w:rPr>
        <w:t>en què consisteix el procés de c</w:t>
      </w:r>
      <w:r w:rsidR="00935E4B">
        <w:rPr>
          <w:lang w:val="ca-ES"/>
        </w:rPr>
        <w:t>haptalització i per a què serveix.</w:t>
      </w:r>
    </w:p>
    <w:p w:rsidR="00935E4B" w:rsidRDefault="00935E4B" w:rsidP="00F97153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>
        <w:rPr>
          <w:lang w:val="ca-ES"/>
        </w:rPr>
        <w:t>Busca a la bibliografia en quins casos està permès a Espanya e</w:t>
      </w:r>
      <w:r w:rsidR="00C80085">
        <w:rPr>
          <w:lang w:val="ca-ES"/>
        </w:rPr>
        <w:t>l procés de c</w:t>
      </w:r>
      <w:r>
        <w:rPr>
          <w:lang w:val="ca-ES"/>
        </w:rPr>
        <w:t>haptalització.</w:t>
      </w:r>
    </w:p>
    <w:p w:rsidR="00AE69F1" w:rsidRDefault="00EC5BA3" w:rsidP="00F97153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>
        <w:rPr>
          <w:lang w:val="ca-ES"/>
        </w:rPr>
        <w:t>Explica què vol</w:t>
      </w:r>
      <w:r w:rsidR="00935E4B">
        <w:rPr>
          <w:lang w:val="ca-ES"/>
        </w:rPr>
        <w:t xml:space="preserve"> dir,</w:t>
      </w:r>
      <w:r>
        <w:rPr>
          <w:lang w:val="ca-ES"/>
        </w:rPr>
        <w:t xml:space="preserve"> amb el què has vist als apartats </w:t>
      </w:r>
      <w:fldSimple w:instr=" REF _Ref477630727 \r \h  \* MERGEFORMAT ">
        <w:r>
          <w:rPr>
            <w:lang w:val="ca-ES"/>
          </w:rPr>
          <w:t>a)</w:t>
        </w:r>
      </w:fldSimple>
      <w:r w:rsidR="00935E4B">
        <w:rPr>
          <w:lang w:val="ca-ES"/>
        </w:rPr>
        <w:t xml:space="preserve"> i </w:t>
      </w:r>
      <w:fldSimple w:instr=" REF _Ref477630729 \r \h  \* MERGEFORMAT ">
        <w:r>
          <w:rPr>
            <w:lang w:val="ca-ES"/>
          </w:rPr>
          <w:t>b)</w:t>
        </w:r>
      </w:fldSimple>
      <w:r w:rsidR="00935E4B">
        <w:rPr>
          <w:lang w:val="ca-ES"/>
        </w:rPr>
        <w:t xml:space="preserve">, què una beguda fermentada doni positiu després de realitzar l'apartat </w:t>
      </w:r>
      <w:fldSimple w:instr=" REF _Ref477630793 \r \h  \* MERGEFORMAT ">
        <w:r w:rsidR="00935E4B">
          <w:rPr>
            <w:lang w:val="ca-ES"/>
          </w:rPr>
          <w:t>c)</w:t>
        </w:r>
      </w:fldSimple>
      <w:r w:rsidR="00935E4B">
        <w:rPr>
          <w:lang w:val="ca-ES"/>
        </w:rPr>
        <w:t>.</w:t>
      </w:r>
      <w:r w:rsidR="00F97DD1">
        <w:rPr>
          <w:lang w:val="ca-ES"/>
        </w:rPr>
        <w:t xml:space="preserve"> </w:t>
      </w:r>
    </w:p>
    <w:sectPr w:rsidR="00AE69F1" w:rsidSect="00C931E9"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C59DD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</w:abstractNum>
  <w:abstractNum w:abstractNumId="1">
    <w:nsid w:val="547A0416"/>
    <w:multiLevelType w:val="multilevel"/>
    <w:tmpl w:val="7A92CA3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2">
    <w:nsid w:val="68780AD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AE69F1"/>
    <w:rsid w:val="000148D0"/>
    <w:rsid w:val="00027FBD"/>
    <w:rsid w:val="00124F31"/>
    <w:rsid w:val="00143148"/>
    <w:rsid w:val="00157852"/>
    <w:rsid w:val="00186835"/>
    <w:rsid w:val="001A5F1A"/>
    <w:rsid w:val="001E51FE"/>
    <w:rsid w:val="00285938"/>
    <w:rsid w:val="002D5A9A"/>
    <w:rsid w:val="002E416B"/>
    <w:rsid w:val="00310E7F"/>
    <w:rsid w:val="003758FD"/>
    <w:rsid w:val="00387295"/>
    <w:rsid w:val="003950F5"/>
    <w:rsid w:val="003F076F"/>
    <w:rsid w:val="004019A7"/>
    <w:rsid w:val="00413243"/>
    <w:rsid w:val="00430E04"/>
    <w:rsid w:val="004A5129"/>
    <w:rsid w:val="004B0ED6"/>
    <w:rsid w:val="00565CCD"/>
    <w:rsid w:val="00587270"/>
    <w:rsid w:val="005B2509"/>
    <w:rsid w:val="005C2B2D"/>
    <w:rsid w:val="00603C19"/>
    <w:rsid w:val="00634107"/>
    <w:rsid w:val="006416E1"/>
    <w:rsid w:val="00665B94"/>
    <w:rsid w:val="00697C05"/>
    <w:rsid w:val="006A36C9"/>
    <w:rsid w:val="00720495"/>
    <w:rsid w:val="00732935"/>
    <w:rsid w:val="007500E4"/>
    <w:rsid w:val="00783300"/>
    <w:rsid w:val="0086529E"/>
    <w:rsid w:val="00883DA7"/>
    <w:rsid w:val="008C1F2D"/>
    <w:rsid w:val="00935E4B"/>
    <w:rsid w:val="009C6393"/>
    <w:rsid w:val="00A22D86"/>
    <w:rsid w:val="00A66EAA"/>
    <w:rsid w:val="00A750F4"/>
    <w:rsid w:val="00A80A1B"/>
    <w:rsid w:val="00AA0D53"/>
    <w:rsid w:val="00AE0CBC"/>
    <w:rsid w:val="00AE69F1"/>
    <w:rsid w:val="00AF79E2"/>
    <w:rsid w:val="00B47830"/>
    <w:rsid w:val="00B752BE"/>
    <w:rsid w:val="00B80643"/>
    <w:rsid w:val="00BA5544"/>
    <w:rsid w:val="00BA63B0"/>
    <w:rsid w:val="00C23D73"/>
    <w:rsid w:val="00C45302"/>
    <w:rsid w:val="00C60B10"/>
    <w:rsid w:val="00C80085"/>
    <w:rsid w:val="00C931E9"/>
    <w:rsid w:val="00CA52CF"/>
    <w:rsid w:val="00CC2D6B"/>
    <w:rsid w:val="00CC4F1B"/>
    <w:rsid w:val="00DE5D34"/>
    <w:rsid w:val="00E33DAB"/>
    <w:rsid w:val="00EC5BA3"/>
    <w:rsid w:val="00ED1B55"/>
    <w:rsid w:val="00EF45E6"/>
    <w:rsid w:val="00F41807"/>
    <w:rsid w:val="00F97153"/>
    <w:rsid w:val="00F97DD1"/>
    <w:rsid w:val="00FE3810"/>
    <w:rsid w:val="00FF022A"/>
    <w:rsid w:val="00FF2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C05"/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99"/>
    <w:rsid w:val="00697C05"/>
    <w:pPr>
      <w:widowControl w:val="0"/>
      <w:autoSpaceDE w:val="0"/>
      <w:autoSpaceDN w:val="0"/>
      <w:adjustRightInd w:val="0"/>
    </w:pPr>
    <w:rPr>
      <w:rFonts w:ascii="Tms Rmn 12pt" w:hAnsi="Tms Rmn 12pt" w:cs="Tms Rmn 12pt"/>
    </w:rPr>
  </w:style>
  <w:style w:type="paragraph" w:styleId="Sangradetextonormal">
    <w:name w:val="Body Text Indent"/>
    <w:basedOn w:val="Normal"/>
    <w:link w:val="SangradetextonormalCar"/>
    <w:uiPriority w:val="99"/>
    <w:rsid w:val="00697C05"/>
    <w:pPr>
      <w:widowControl w:val="0"/>
      <w:autoSpaceDE w:val="0"/>
      <w:autoSpaceDN w:val="0"/>
      <w:adjustRightInd w:val="0"/>
      <w:spacing w:line="278" w:lineRule="atLeast"/>
      <w:ind w:left="567"/>
    </w:pPr>
    <w:rPr>
      <w:lang w:val="ca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97C05"/>
    <w:rPr>
      <w:rFonts w:ascii="Times New Roman" w:hAnsi="Times New Roman" w:cs="Times New Roman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697C05"/>
    <w:pPr>
      <w:widowControl w:val="0"/>
      <w:autoSpaceDE w:val="0"/>
      <w:autoSpaceDN w:val="0"/>
      <w:adjustRightInd w:val="0"/>
      <w:spacing w:line="278" w:lineRule="atLeast"/>
      <w:ind w:left="567"/>
      <w:jc w:val="both"/>
    </w:pPr>
    <w:rPr>
      <w:lang w:val="ca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697C05"/>
    <w:rPr>
      <w:rFonts w:ascii="Times New Roman" w:hAnsi="Times New Roman" w:cs="Times New Roman"/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rsid w:val="00697C05"/>
    <w:pPr>
      <w:widowControl w:val="0"/>
      <w:autoSpaceDE w:val="0"/>
      <w:autoSpaceDN w:val="0"/>
      <w:adjustRightInd w:val="0"/>
      <w:spacing w:line="283" w:lineRule="atLeast"/>
      <w:ind w:left="360"/>
      <w:jc w:val="both"/>
    </w:pPr>
    <w:rPr>
      <w:lang w:val="ca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697C05"/>
    <w:rPr>
      <w:rFonts w:ascii="Times New Roman" w:hAnsi="Times New Roman" w:cs="Times New Roman"/>
      <w:sz w:val="16"/>
      <w:szCs w:val="16"/>
    </w:rPr>
  </w:style>
  <w:style w:type="paragraph" w:customStyle="1" w:styleId="Estndard">
    <w:name w:val="Estàndard"/>
    <w:uiPriority w:val="99"/>
    <w:rsid w:val="00697C05"/>
    <w:pPr>
      <w:ind w:left="567" w:hanging="567"/>
    </w:pPr>
    <w:rPr>
      <w:rFonts w:ascii="Times New Roman" w:hAnsi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124F31"/>
    <w:rPr>
      <w:color w:val="0000FF"/>
      <w:u w:val="single"/>
    </w:rPr>
  </w:style>
  <w:style w:type="paragraph" w:styleId="Epgrafe">
    <w:name w:val="caption"/>
    <w:basedOn w:val="Normal"/>
    <w:next w:val="Normal"/>
    <w:uiPriority w:val="35"/>
    <w:unhideWhenUsed/>
    <w:qFormat/>
    <w:rsid w:val="00BA63B0"/>
    <w:pPr>
      <w:spacing w:after="200"/>
    </w:pPr>
    <w:rPr>
      <w:b/>
      <w:bCs/>
      <w:color w:val="4F81BD" w:themeColor="accent1"/>
      <w:sz w:val="18"/>
      <w:szCs w:val="18"/>
    </w:rPr>
  </w:style>
  <w:style w:type="table" w:styleId="Tablaconcuadrcula">
    <w:name w:val="Table Grid"/>
    <w:basedOn w:val="Tablanormal"/>
    <w:uiPriority w:val="59"/>
    <w:rsid w:val="00CC4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806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28794-73D8-428B-9FD2-73FE15F1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OBJECTIUS:</vt:lpstr>
    </vt:vector>
  </TitlesOfParts>
  <Company>Particular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OBJECTIUS:</dc:title>
  <dc:creator>Juan José Navas</dc:creator>
  <cp:lastModifiedBy>dep expe</cp:lastModifiedBy>
  <cp:revision>3</cp:revision>
  <dcterms:created xsi:type="dcterms:W3CDTF">2019-12-12T16:00:00Z</dcterms:created>
  <dcterms:modified xsi:type="dcterms:W3CDTF">2019-12-13T10:07:00Z</dcterms:modified>
</cp:coreProperties>
</file>