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auto" w:val="clear"/>
          <w:vertAlign w:val="baseline"/>
        </w:rPr>
      </w:r>
    </w:p>
    <w:tbl>
      <w:tblPr>
        <w:tblStyle w:val="Table1"/>
        <w:tblW w:w="9923" w:type="dxa"/>
        <w:jc w:val="left"/>
        <w:tblInd w:w="-176" w:type="dxa"/>
        <w:tblLayout w:type="fixed"/>
        <w:tblCellMar>
          <w:top w:w="0" w:type="dxa"/>
          <w:left w:w="108" w:type="dxa"/>
          <w:bottom w:w="0" w:type="dxa"/>
          <w:right w:w="108" w:type="dxa"/>
        </w:tblCellMar>
        <w:tblLook w:val="0400"/>
      </w:tblPr>
      <w:tblGrid>
        <w:gridCol w:w="6684"/>
        <w:gridCol w:w="1558"/>
        <w:gridCol w:w="1681"/>
      </w:tblGrid>
      <w:tr>
        <w:trPr/>
        <w:tc>
          <w:tcPr>
            <w:tcW w:w="8242" w:type="dxa"/>
            <w:gridSpan w:val="2"/>
            <w:tcBorders>
              <w:top w:val="single" w:sz="4" w:space="0" w:color="000000"/>
              <w:left w:val="single" w:sz="4" w:space="0" w:color="000000"/>
              <w:bottom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i/>
                <w:i/>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caps w:val="false"/>
                <w:smallCaps w:val="false"/>
                <w:strike w:val="false"/>
                <w:dstrike w:val="false"/>
                <w:color w:val="000000"/>
                <w:position w:val="0"/>
                <w:sz w:val="20"/>
                <w:sz w:val="20"/>
                <w:szCs w:val="20"/>
                <w:u w:val="none"/>
                <w:shd w:fill="auto" w:val="clear"/>
                <w:vertAlign w:val="baseline"/>
              </w:rPr>
              <w:t>CFGM Tècnic/a d’atenció a persones en situació de dependència</w:t>
            </w:r>
          </w:p>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i/>
                <w:i/>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caps w:val="false"/>
                <w:smallCaps w:val="false"/>
                <w:strike w:val="false"/>
                <w:dstrike w:val="false"/>
                <w:color w:val="000000"/>
                <w:position w:val="0"/>
                <w:sz w:val="20"/>
                <w:sz w:val="20"/>
                <w:szCs w:val="20"/>
                <w:u w:val="none"/>
                <w:shd w:fill="auto" w:val="clear"/>
                <w:vertAlign w:val="baseline"/>
              </w:rPr>
              <w:t xml:space="preserve">MP08 SUPORT A LA COMUNICACIÓ         CURS </w:t>
            </w:r>
            <w:r>
              <w:rPr>
                <w:rFonts w:eastAsia="Arial" w:cs="Arial" w:ascii="Arial" w:hAnsi="Arial"/>
                <w:b/>
                <w:i/>
                <w:sz w:val="20"/>
                <w:szCs w:val="20"/>
              </w:rPr>
              <w:t>22</w:t>
            </w:r>
            <w:r>
              <w:rPr>
                <w:rFonts w:eastAsia="Arial" w:cs="Arial" w:ascii="Arial" w:hAnsi="Arial"/>
                <w:b/>
                <w:i/>
                <w:caps w:val="false"/>
                <w:smallCaps w:val="false"/>
                <w:strike w:val="false"/>
                <w:dstrike w:val="false"/>
                <w:color w:val="000000"/>
                <w:position w:val="0"/>
                <w:sz w:val="20"/>
                <w:sz w:val="20"/>
                <w:szCs w:val="20"/>
                <w:u w:val="none"/>
                <w:shd w:fill="auto" w:val="clear"/>
                <w:vertAlign w:val="baseline"/>
              </w:rPr>
              <w:t>-2</w:t>
            </w:r>
            <w:r>
              <w:rPr>
                <w:rFonts w:eastAsia="Arial" w:cs="Arial" w:ascii="Arial" w:hAnsi="Arial"/>
                <w:b/>
                <w:i/>
                <w:sz w:val="20"/>
                <w:szCs w:val="20"/>
              </w:rPr>
              <w:t>3</w:t>
            </w:r>
            <w:r>
              <w:rPr>
                <w:rFonts w:eastAsia="Arial" w:cs="Arial" w:ascii="Arial" w:hAnsi="Arial"/>
                <w:b/>
                <w:i/>
                <w:caps w:val="false"/>
                <w:smallCaps w:val="false"/>
                <w:strike w:val="false"/>
                <w:dstrike w:val="false"/>
                <w:color w:val="000000"/>
                <w:position w:val="0"/>
                <w:sz w:val="20"/>
                <w:sz w:val="20"/>
                <w:szCs w:val="20"/>
                <w:u w:val="none"/>
                <w:shd w:fill="auto" w:val="clear"/>
                <w:vertAlign w:val="baseline"/>
              </w:rPr>
              <w:t xml:space="preserve">           Núria Ribot</w:t>
            </w:r>
          </w:p>
        </w:tc>
        <w:tc>
          <w:tcPr>
            <w:tcW w:w="1681"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Hores totals 66</w:t>
            </w:r>
          </w:p>
        </w:tc>
      </w:tr>
      <w:tr>
        <w:trPr/>
        <w:tc>
          <w:tcPr>
            <w:tcW w:w="6684" w:type="dxa"/>
            <w:tcBorders>
              <w:left w:val="single" w:sz="4" w:space="0" w:color="000000"/>
              <w:bottom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Unitats formatives</w:t>
            </w:r>
          </w:p>
        </w:tc>
        <w:tc>
          <w:tcPr>
            <w:tcW w:w="1558" w:type="dxa"/>
            <w:tcBorders>
              <w:left w:val="single" w:sz="4" w:space="0" w:color="000000"/>
              <w:bottom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Hores mín. + HLLD</w:t>
            </w:r>
          </w:p>
        </w:tc>
        <w:tc>
          <w:tcPr>
            <w:tcW w:w="1681" w:type="dxa"/>
            <w:tcBorders>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Durada</w:t>
            </w:r>
          </w:p>
        </w:tc>
      </w:tr>
      <w:tr>
        <w:trPr/>
        <w:tc>
          <w:tcPr>
            <w:tcW w:w="6684" w:type="dxa"/>
            <w:tcBorders>
              <w:left w:val="single" w:sz="4" w:space="0" w:color="000000"/>
              <w:bottom w:val="single" w:sz="4" w:space="0" w:color="000000"/>
            </w:tcBorders>
            <w:vAlign w:val="center"/>
          </w:tcPr>
          <w:p>
            <w:pPr>
              <w:pStyle w:val="Normal1"/>
              <w:widowControl w:val="false"/>
              <w:spacing w:lineRule="auto" w:line="240" w:before="120" w:after="120"/>
              <w:ind w:left="33" w:hanging="0"/>
              <w:rPr>
                <w:rFonts w:ascii="Arial" w:hAnsi="Arial" w:eastAsia="Arial" w:cs="Arial"/>
                <w:sz w:val="20"/>
                <w:szCs w:val="20"/>
              </w:rPr>
            </w:pPr>
            <w:r>
              <w:rPr>
                <w:rFonts w:eastAsia="Arial" w:cs="Arial" w:ascii="Arial" w:hAnsi="Arial"/>
                <w:b/>
                <w:sz w:val="20"/>
                <w:szCs w:val="20"/>
              </w:rPr>
              <w:t xml:space="preserve">UF1: </w:t>
            </w:r>
            <w:r>
              <w:rPr>
                <w:rFonts w:eastAsia="Arial" w:cs="Arial" w:ascii="Arial" w:hAnsi="Arial"/>
                <w:sz w:val="20"/>
                <w:szCs w:val="20"/>
              </w:rPr>
              <w:t>Suport a la comunicació</w:t>
            </w:r>
          </w:p>
        </w:tc>
        <w:tc>
          <w:tcPr>
            <w:tcW w:w="1558" w:type="dxa"/>
            <w:tcBorders>
              <w:left w:val="single" w:sz="4" w:space="0" w:color="000000"/>
              <w:bottom w:val="single" w:sz="4" w:space="0" w:color="000000"/>
            </w:tcBorders>
            <w:vAlign w:val="center"/>
          </w:tcPr>
          <w:p>
            <w:pPr>
              <w:pStyle w:val="Normal1"/>
              <w:keepNext w:val="false"/>
              <w:keepLines w:val="false"/>
              <w:widowControl w:val="false"/>
              <w:pBdr/>
              <w:shd w:val="clear" w:fill="auto"/>
              <w:spacing w:lineRule="auto" w:line="276" w:before="120" w:after="12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66</w:t>
            </w:r>
          </w:p>
        </w:tc>
        <w:tc>
          <w:tcPr>
            <w:tcW w:w="1681" w:type="dxa"/>
            <w:tcBorders>
              <w:left w:val="single" w:sz="4" w:space="0" w:color="000000"/>
              <w:bottom w:val="single" w:sz="4" w:space="0" w:color="000000"/>
              <w:right w:val="single" w:sz="4" w:space="0" w:color="000000"/>
            </w:tcBorders>
            <w:vAlign w:val="center"/>
          </w:tcPr>
          <w:p>
            <w:pPr>
              <w:pStyle w:val="Normal1"/>
              <w:keepNext w:val="false"/>
              <w:keepLines w:val="false"/>
              <w:widowControl w:val="false"/>
              <w:pBdr/>
              <w:shd w:val="clear" w:fill="auto"/>
              <w:spacing w:lineRule="auto" w:line="276" w:before="120" w:after="12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66</w:t>
            </w:r>
          </w:p>
        </w:tc>
      </w:tr>
    </w:tbl>
    <w:p>
      <w:pPr>
        <w:pStyle w:val="Normal1"/>
        <w:rPr>
          <w:sz w:val="20"/>
          <w:szCs w:val="20"/>
        </w:rPr>
      </w:pPr>
      <w:r>
        <w:rPr>
          <w:sz w:val="20"/>
          <w:szCs w:val="20"/>
        </w:rPr>
      </w:r>
    </w:p>
    <w:tbl>
      <w:tblPr>
        <w:tblStyle w:val="Table2"/>
        <w:tblW w:w="9884" w:type="dxa"/>
        <w:jc w:val="left"/>
        <w:tblInd w:w="-176" w:type="dxa"/>
        <w:tblLayout w:type="fixed"/>
        <w:tblCellMar>
          <w:top w:w="0" w:type="dxa"/>
          <w:left w:w="108" w:type="dxa"/>
          <w:bottom w:w="0" w:type="dxa"/>
          <w:right w:w="108" w:type="dxa"/>
        </w:tblCellMar>
        <w:tblLook w:val="0400"/>
      </w:tblPr>
      <w:tblGrid>
        <w:gridCol w:w="9884"/>
      </w:tblGrid>
      <w:tr>
        <w:trPr/>
        <w:tc>
          <w:tcPr>
            <w:tcW w:w="9884"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b/>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0"/>
                <w:sz w:val="20"/>
                <w:szCs w:val="20"/>
                <w:u w:val="none"/>
                <w:shd w:fill="auto" w:val="clear"/>
                <w:vertAlign w:val="baseline"/>
              </w:rPr>
              <w:t>Nucli Formatiu</w:t>
            </w:r>
          </w:p>
        </w:tc>
      </w:tr>
      <w:tr>
        <w:trPr/>
        <w:tc>
          <w:tcPr>
            <w:tcW w:w="9884"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rFonts w:ascii="Arial" w:hAnsi="Arial" w:eastAsia="Arial" w:cs="Arial"/>
                <w:sz w:val="20"/>
                <w:szCs w:val="20"/>
              </w:rPr>
            </w:pPr>
            <w:r>
              <w:rPr>
                <w:rFonts w:eastAsia="Arial" w:cs="Arial" w:ascii="Arial" w:hAnsi="Arial"/>
                <w:sz w:val="20"/>
                <w:szCs w:val="20"/>
              </w:rPr>
              <w:t>NF1: Comunicació i llenguatge (14h)</w:t>
            </w:r>
          </w:p>
          <w:p>
            <w:pPr>
              <w:pStyle w:val="Normal1"/>
              <w:keepNext w:val="false"/>
              <w:keepLines w:val="false"/>
              <w:widowControl w:val="false"/>
              <w:numPr>
                <w:ilvl w:val="0"/>
                <w:numId w:val="3"/>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La comunicació humana</w:t>
            </w:r>
          </w:p>
          <w:p>
            <w:pPr>
              <w:pStyle w:val="Normal1"/>
              <w:keepNext w:val="false"/>
              <w:keepLines w:val="false"/>
              <w:widowControl w:val="false"/>
              <w:numPr>
                <w:ilvl w:val="0"/>
                <w:numId w:val="3"/>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El procés de la comunicació</w:t>
            </w:r>
          </w:p>
          <w:p>
            <w:pPr>
              <w:pStyle w:val="Normal1"/>
              <w:keepNext w:val="false"/>
              <w:keepLines w:val="false"/>
              <w:widowControl w:val="false"/>
              <w:numPr>
                <w:ilvl w:val="0"/>
                <w:numId w:val="3"/>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El llenguatge</w:t>
            </w:r>
          </w:p>
          <w:p>
            <w:pPr>
              <w:pStyle w:val="Normal1"/>
              <w:keepNext w:val="false"/>
              <w:keepLines w:val="false"/>
              <w:widowControl w:val="false"/>
              <w:numPr>
                <w:ilvl w:val="0"/>
                <w:numId w:val="3"/>
              </w:numPr>
              <w:pBdr/>
              <w:shd w:val="clear" w:fill="auto"/>
              <w:spacing w:lineRule="auto" w:line="276" w:before="0" w:after="20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Trastorns del llenguatge</w:t>
            </w:r>
          </w:p>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r>
          </w:p>
        </w:tc>
      </w:tr>
      <w:tr>
        <w:trPr/>
        <w:tc>
          <w:tcPr>
            <w:tcW w:w="9884"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rFonts w:ascii="Arial" w:hAnsi="Arial" w:eastAsia="Arial" w:cs="Arial"/>
                <w:sz w:val="20"/>
                <w:szCs w:val="20"/>
              </w:rPr>
            </w:pPr>
            <w:r>
              <w:rPr>
                <w:rFonts w:eastAsia="Arial" w:cs="Arial" w:ascii="Arial" w:hAnsi="Arial"/>
                <w:sz w:val="20"/>
                <w:szCs w:val="20"/>
              </w:rPr>
              <w:t>NF2: La comunicació amb persones en situació de dependència (12h)</w:t>
            </w:r>
          </w:p>
          <w:p>
            <w:pPr>
              <w:pStyle w:val="Normal1"/>
              <w:keepNext w:val="false"/>
              <w:keepLines w:val="false"/>
              <w:widowControl w:val="false"/>
              <w:numPr>
                <w:ilvl w:val="0"/>
                <w:numId w:val="4"/>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Intervenció en la comunicació amb persones en situació de dependència</w:t>
            </w:r>
          </w:p>
          <w:p>
            <w:pPr>
              <w:pStyle w:val="Normal1"/>
              <w:keepNext w:val="false"/>
              <w:keepLines w:val="false"/>
              <w:widowControl w:val="false"/>
              <w:numPr>
                <w:ilvl w:val="0"/>
                <w:numId w:val="4"/>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La utilització d’estratègies comunicatives convencionals</w:t>
            </w:r>
          </w:p>
          <w:p>
            <w:pPr>
              <w:pStyle w:val="Normal1"/>
              <w:keepNext w:val="false"/>
              <w:keepLines w:val="false"/>
              <w:widowControl w:val="false"/>
              <w:numPr>
                <w:ilvl w:val="0"/>
                <w:numId w:val="4"/>
              </w:numPr>
              <w:pBdr/>
              <w:shd w:val="clear" w:fill="auto"/>
              <w:spacing w:lineRule="auto" w:line="276" w:before="0" w:after="20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Sistemes de comunicació alternativa i augmentativa</w:t>
            </w:r>
          </w:p>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r>
          </w:p>
        </w:tc>
      </w:tr>
      <w:tr>
        <w:trPr/>
        <w:tc>
          <w:tcPr>
            <w:tcW w:w="9884"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rFonts w:ascii="Arial" w:hAnsi="Arial" w:eastAsia="Arial" w:cs="Arial"/>
                <w:sz w:val="20"/>
                <w:szCs w:val="20"/>
              </w:rPr>
            </w:pPr>
            <w:r>
              <w:rPr>
                <w:rFonts w:eastAsia="Arial" w:cs="Arial" w:ascii="Arial" w:hAnsi="Arial"/>
                <w:sz w:val="20"/>
                <w:szCs w:val="20"/>
              </w:rPr>
              <w:t>NF3: Els sistemes de comunicació sense ajuda (18h)</w:t>
            </w:r>
          </w:p>
          <w:p>
            <w:pPr>
              <w:pStyle w:val="Normal1"/>
              <w:widowControl w:val="false"/>
              <w:jc w:val="both"/>
              <w:rPr>
                <w:rFonts w:ascii="Arial" w:hAnsi="Arial" w:eastAsia="Arial" w:cs="Arial"/>
                <w:sz w:val="20"/>
                <w:szCs w:val="20"/>
              </w:rPr>
            </w:pPr>
            <w:r>
              <w:rPr>
                <w:rFonts w:eastAsia="Arial" w:cs="Arial" w:ascii="Arial" w:hAnsi="Arial"/>
                <w:sz w:val="20"/>
                <w:szCs w:val="20"/>
              </w:rPr>
              <w:t>I el codi Braille</w:t>
            </w:r>
          </w:p>
          <w:p>
            <w:pPr>
              <w:pStyle w:val="Normal1"/>
              <w:keepNext w:val="false"/>
              <w:keepLines w:val="false"/>
              <w:widowControl w:val="false"/>
              <w:numPr>
                <w:ilvl w:val="0"/>
                <w:numId w:val="5"/>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 xml:space="preserve">El Braille </w:t>
            </w:r>
          </w:p>
          <w:p>
            <w:pPr>
              <w:pStyle w:val="Normal1"/>
              <w:keepNext w:val="false"/>
              <w:keepLines w:val="false"/>
              <w:widowControl w:val="false"/>
              <w:numPr>
                <w:ilvl w:val="0"/>
                <w:numId w:val="5"/>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Aproximació al SAAC sense ajuda</w:t>
            </w:r>
          </w:p>
          <w:p>
            <w:pPr>
              <w:pStyle w:val="Normal1"/>
              <w:keepNext w:val="false"/>
              <w:keepLines w:val="false"/>
              <w:widowControl w:val="false"/>
              <w:numPr>
                <w:ilvl w:val="0"/>
                <w:numId w:val="5"/>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L’alfabet dactilològic</w:t>
            </w:r>
          </w:p>
          <w:p>
            <w:pPr>
              <w:pStyle w:val="Normal1"/>
              <w:keepNext w:val="false"/>
              <w:keepLines w:val="false"/>
              <w:widowControl w:val="false"/>
              <w:numPr>
                <w:ilvl w:val="0"/>
                <w:numId w:val="5"/>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La llengua de signes</w:t>
            </w:r>
          </w:p>
          <w:p>
            <w:pPr>
              <w:pStyle w:val="Normal1"/>
              <w:keepNext w:val="false"/>
              <w:keepLines w:val="false"/>
              <w:widowControl w:val="false"/>
              <w:numPr>
                <w:ilvl w:val="0"/>
                <w:numId w:val="5"/>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Mètodes oralistes</w:t>
            </w:r>
          </w:p>
          <w:p>
            <w:pPr>
              <w:pStyle w:val="Normal1"/>
              <w:keepNext w:val="false"/>
              <w:keepLines w:val="false"/>
              <w:widowControl w:val="false"/>
              <w:numPr>
                <w:ilvl w:val="0"/>
                <w:numId w:val="5"/>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Mètode bimodal</w:t>
            </w:r>
          </w:p>
          <w:p>
            <w:pPr>
              <w:pStyle w:val="Normal1"/>
              <w:keepNext w:val="false"/>
              <w:keepLines w:val="false"/>
              <w:widowControl w:val="false"/>
              <w:numPr>
                <w:ilvl w:val="0"/>
                <w:numId w:val="5"/>
              </w:numPr>
              <w:pBdr/>
              <w:shd w:val="clear" w:fill="auto"/>
              <w:spacing w:lineRule="auto" w:line="276" w:before="0" w:after="20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Quins mètodes utilitzar</w:t>
            </w:r>
          </w:p>
        </w:tc>
      </w:tr>
      <w:tr>
        <w:trPr/>
        <w:tc>
          <w:tcPr>
            <w:tcW w:w="9884"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rFonts w:ascii="Arial" w:hAnsi="Arial" w:eastAsia="Arial" w:cs="Arial"/>
                <w:sz w:val="20"/>
                <w:szCs w:val="20"/>
              </w:rPr>
            </w:pPr>
            <w:r>
              <w:rPr>
                <w:rFonts w:eastAsia="Arial" w:cs="Arial" w:ascii="Arial" w:hAnsi="Arial"/>
                <w:sz w:val="20"/>
                <w:szCs w:val="20"/>
              </w:rPr>
              <w:t>NF4: Els sistemes de comunicació amb ajuda (18h)</w:t>
            </w:r>
          </w:p>
          <w:p>
            <w:pPr>
              <w:pStyle w:val="Normal1"/>
              <w:keepNext w:val="false"/>
              <w:keepLines w:val="false"/>
              <w:widowControl w:val="false"/>
              <w:numPr>
                <w:ilvl w:val="0"/>
                <w:numId w:val="1"/>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Aproximació als sistemes de comunicació amb ajuda</w:t>
            </w:r>
          </w:p>
          <w:p>
            <w:pPr>
              <w:pStyle w:val="Normal1"/>
              <w:keepNext w:val="false"/>
              <w:keepLines w:val="false"/>
              <w:widowControl w:val="false"/>
              <w:numPr>
                <w:ilvl w:val="0"/>
                <w:numId w:val="1"/>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Elements que composen un sistema de comunicació amb ajuda</w:t>
            </w:r>
          </w:p>
          <w:p>
            <w:pPr>
              <w:pStyle w:val="Normal1"/>
              <w:keepNext w:val="false"/>
              <w:keepLines w:val="false"/>
              <w:widowControl w:val="false"/>
              <w:numPr>
                <w:ilvl w:val="0"/>
                <w:numId w:val="1"/>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El sistema SPC i el sistema BLISS</w:t>
            </w:r>
          </w:p>
          <w:p>
            <w:pPr>
              <w:pStyle w:val="Normal1"/>
              <w:keepNext w:val="false"/>
              <w:keepLines w:val="false"/>
              <w:widowControl w:val="false"/>
              <w:numPr>
                <w:ilvl w:val="0"/>
                <w:numId w:val="1"/>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Altres sistemes gràfics de comunicació</w:t>
            </w:r>
          </w:p>
          <w:p>
            <w:pPr>
              <w:pStyle w:val="Normal1"/>
              <w:keepNext w:val="false"/>
              <w:keepLines w:val="false"/>
              <w:widowControl w:val="false"/>
              <w:numPr>
                <w:ilvl w:val="0"/>
                <w:numId w:val="1"/>
              </w:numPr>
              <w:pBdr/>
              <w:shd w:val="clear" w:fill="auto"/>
              <w:spacing w:lineRule="auto" w:line="276" w:before="0" w:after="20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El portal ARASAAC</w:t>
            </w:r>
          </w:p>
          <w:p>
            <w:pPr>
              <w:pStyle w:val="Normal1"/>
              <w:keepNext w:val="false"/>
              <w:keepLines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r>
          </w:p>
        </w:tc>
      </w:tr>
      <w:tr>
        <w:trPr/>
        <w:tc>
          <w:tcPr>
            <w:tcW w:w="9884" w:type="dxa"/>
            <w:tcBorders>
              <w:top w:val="single" w:sz="4" w:space="0" w:color="000000"/>
              <w:left w:val="single" w:sz="4" w:space="0" w:color="000000"/>
              <w:bottom w:val="single" w:sz="4" w:space="0" w:color="000000"/>
              <w:right w:val="single" w:sz="4" w:space="0" w:color="000000"/>
            </w:tcBorders>
          </w:tcPr>
          <w:p>
            <w:pPr>
              <w:pStyle w:val="Normal1"/>
              <w:widowControl w:val="false"/>
              <w:jc w:val="both"/>
              <w:rPr>
                <w:rFonts w:ascii="Arial" w:hAnsi="Arial" w:eastAsia="Arial" w:cs="Arial"/>
                <w:sz w:val="20"/>
                <w:szCs w:val="20"/>
              </w:rPr>
            </w:pPr>
            <w:r>
              <w:rPr>
                <w:rFonts w:eastAsia="Arial" w:cs="Arial" w:ascii="Arial" w:hAnsi="Arial"/>
                <w:sz w:val="20"/>
                <w:szCs w:val="20"/>
              </w:rPr>
              <w:t>NF5:Estratègies d’intervenció i seguiment (4h)</w:t>
            </w:r>
          </w:p>
          <w:p>
            <w:pPr>
              <w:pStyle w:val="Normal1"/>
              <w:keepNext w:val="false"/>
              <w:keepLines w:val="false"/>
              <w:widowControl w:val="false"/>
              <w:numPr>
                <w:ilvl w:val="0"/>
                <w:numId w:val="2"/>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La implantació d’un SAAC</w:t>
            </w:r>
          </w:p>
          <w:p>
            <w:pPr>
              <w:pStyle w:val="Normal1"/>
              <w:keepNext w:val="false"/>
              <w:keepLines w:val="false"/>
              <w:widowControl w:val="false"/>
              <w:numPr>
                <w:ilvl w:val="0"/>
                <w:numId w:val="2"/>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Etapa d’anàlisi</w:t>
            </w:r>
          </w:p>
          <w:p>
            <w:pPr>
              <w:pStyle w:val="Normal1"/>
              <w:keepNext w:val="false"/>
              <w:keepLines w:val="false"/>
              <w:widowControl w:val="false"/>
              <w:numPr>
                <w:ilvl w:val="0"/>
                <w:numId w:val="2"/>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Etapa de diagnòstic</w:t>
            </w:r>
          </w:p>
          <w:p>
            <w:pPr>
              <w:pStyle w:val="Normal1"/>
              <w:keepNext w:val="false"/>
              <w:keepLines w:val="false"/>
              <w:widowControl w:val="false"/>
              <w:numPr>
                <w:ilvl w:val="0"/>
                <w:numId w:val="2"/>
              </w:numPr>
              <w:pBd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Etapa d’implementació</w:t>
            </w:r>
          </w:p>
          <w:p>
            <w:pPr>
              <w:pStyle w:val="Normal1"/>
              <w:keepNext w:val="false"/>
              <w:keepLines w:val="false"/>
              <w:widowControl w:val="false"/>
              <w:numPr>
                <w:ilvl w:val="0"/>
                <w:numId w:val="2"/>
              </w:numPr>
              <w:pBdr/>
              <w:shd w:val="clear" w:fill="auto"/>
              <w:spacing w:lineRule="auto" w:line="276" w:before="0" w:after="200"/>
              <w:ind w:left="720" w:right="0" w:hanging="36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t>Etapa de seguiment</w:t>
            </w:r>
          </w:p>
          <w:p>
            <w:pPr>
              <w:pStyle w:val="Normal1"/>
              <w:keepNext w:val="false"/>
              <w:keepLines w:val="false"/>
              <w:widowControl w:val="false"/>
              <w:pBdr/>
              <w:shd w:val="clear" w:fill="auto"/>
              <w:spacing w:lineRule="auto" w:line="276" w:before="0"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val="false"/>
                <w:i w:val="false"/>
                <w:caps w:val="false"/>
                <w:smallCaps w:val="false"/>
                <w:strike w:val="false"/>
                <w:dstrike w:val="false"/>
                <w:color w:val="000000"/>
                <w:position w:val="0"/>
                <w:sz w:val="20"/>
                <w:sz w:val="20"/>
                <w:szCs w:val="20"/>
                <w:u w:val="none"/>
                <w:shd w:fill="auto" w:val="clear"/>
                <w:vertAlign w:val="baseline"/>
              </w:rPr>
            </w:r>
          </w:p>
        </w:tc>
      </w:tr>
    </w:tbl>
    <w:p>
      <w:pPr>
        <w:pStyle w:val="Normal1"/>
        <w:tabs>
          <w:tab w:val="clear" w:pos="720"/>
          <w:tab w:val="left" w:pos="786" w:leader="none"/>
        </w:tabs>
        <w:spacing w:lineRule="auto" w:line="240" w:before="0" w:after="0"/>
        <w:rPr>
          <w:rFonts w:ascii="Arial" w:hAnsi="Arial" w:eastAsia="Arial" w:cs="Arial"/>
          <w:b/>
          <w:b/>
          <w:sz w:val="20"/>
          <w:szCs w:val="20"/>
          <w:u w:val="single"/>
        </w:rPr>
      </w:pPr>
      <w:r>
        <w:br w:type="page"/>
      </w:r>
      <w:r>
        <w:rPr>
          <w:rFonts w:eastAsia="Arial" w:cs="Arial" w:ascii="Arial" w:hAnsi="Arial"/>
          <w:b/>
          <w:sz w:val="20"/>
          <w:szCs w:val="20"/>
          <w:u w:val="single"/>
        </w:rPr>
        <w:t>Criteris d’avaluació i recuperació</w:t>
      </w:r>
    </w:p>
    <w:p>
      <w:pPr>
        <w:pStyle w:val="Normal1"/>
        <w:spacing w:lineRule="auto" w:line="240" w:before="0" w:after="0"/>
        <w:jc w:val="both"/>
        <w:rPr>
          <w:rFonts w:ascii="Arial" w:hAnsi="Arial" w:eastAsia="Arial" w:cs="Arial"/>
          <w:sz w:val="20"/>
          <w:szCs w:val="20"/>
        </w:rPr>
      </w:pPr>
      <w:r>
        <w:rPr>
          <w:rFonts w:eastAsia="Arial" w:cs="Arial" w:ascii="Arial" w:hAnsi="Arial"/>
          <w:sz w:val="20"/>
          <w:szCs w:val="20"/>
        </w:rPr>
      </w:r>
    </w:p>
    <w:p>
      <w:pPr>
        <w:pStyle w:val="Normal1"/>
        <w:tabs>
          <w:tab w:val="clear" w:pos="720"/>
          <w:tab w:val="left" w:pos="8364" w:leader="none"/>
        </w:tabs>
        <w:spacing w:lineRule="auto" w:line="240" w:before="0" w:after="120"/>
        <w:ind w:right="142" w:hanging="0"/>
        <w:jc w:val="both"/>
        <w:rPr>
          <w:rFonts w:ascii="Arial" w:hAnsi="Arial" w:eastAsia="Arial" w:cs="Arial"/>
          <w:sz w:val="20"/>
          <w:szCs w:val="20"/>
        </w:rPr>
      </w:pPr>
      <w:r>
        <w:rPr>
          <w:rFonts w:eastAsia="Arial" w:cs="Arial" w:ascii="Arial" w:hAnsi="Arial"/>
          <w:sz w:val="20"/>
          <w:szCs w:val="20"/>
        </w:rPr>
        <w:t xml:space="preserve">A l'inici de la UF es proposa una activitat que permet una </w:t>
      </w:r>
      <w:r>
        <w:rPr>
          <w:rFonts w:eastAsia="Arial" w:cs="Arial" w:ascii="Arial" w:hAnsi="Arial"/>
          <w:b/>
          <w:sz w:val="20"/>
          <w:szCs w:val="20"/>
        </w:rPr>
        <w:t>primera presa de contacte</w:t>
      </w:r>
      <w:r>
        <w:rPr>
          <w:rFonts w:eastAsia="Arial" w:cs="Arial" w:ascii="Arial" w:hAnsi="Arial"/>
          <w:sz w:val="20"/>
          <w:szCs w:val="20"/>
        </w:rPr>
        <w:t xml:space="preserve"> amb els continguts a treballar, mitjançant la qual la professora podrà començar a conèixer les idees i actituds prèvies de l’alumnat. Aquesta activitat no tindrà una qualificació individual.</w:t>
      </w:r>
    </w:p>
    <w:p>
      <w:pPr>
        <w:pStyle w:val="Normal1"/>
        <w:tabs>
          <w:tab w:val="clear" w:pos="720"/>
          <w:tab w:val="left" w:pos="8364" w:leader="none"/>
        </w:tabs>
        <w:spacing w:lineRule="auto" w:line="240" w:before="0" w:after="120"/>
        <w:ind w:right="142" w:hanging="0"/>
        <w:jc w:val="both"/>
        <w:rPr>
          <w:rFonts w:ascii="Arial" w:hAnsi="Arial" w:eastAsia="Arial" w:cs="Arial"/>
          <w:sz w:val="20"/>
          <w:szCs w:val="20"/>
        </w:rPr>
      </w:pPr>
      <w:r>
        <w:rPr>
          <w:rFonts w:eastAsia="Arial" w:cs="Arial" w:ascii="Arial" w:hAnsi="Arial"/>
          <w:sz w:val="20"/>
          <w:szCs w:val="20"/>
        </w:rPr>
        <w:t>Al llarg de cada unitat i per cada nucli formatiu es proposen altres activitats individuals i/o grupals i un examen, que serviran per a la seva avaluació. A banda de la nota de cada activitat i dels exàmens, es donarà a l’alumnat orientacions sobre els aspectes que convingui millorar tant en el  procés d’aprenentatge, com en les estratègies de treball en equip, comportament, el clima de grup, etc. En aquest sentit es potenciarà l’autoavaluació en els treballs grupals. Els exàmens dels NF 3 i 4 tindran un caire pràctic.</w:t>
      </w:r>
    </w:p>
    <w:p>
      <w:pPr>
        <w:pStyle w:val="Normal1"/>
        <w:jc w:val="both"/>
        <w:rPr>
          <w:rFonts w:ascii="Arial" w:hAnsi="Arial" w:eastAsia="Arial" w:cs="Arial"/>
          <w:sz w:val="20"/>
          <w:szCs w:val="20"/>
        </w:rPr>
      </w:pPr>
      <w:r>
        <w:rPr>
          <w:rFonts w:eastAsia="Arial" w:cs="Arial" w:ascii="Arial" w:hAnsi="Arial"/>
          <w:sz w:val="20"/>
          <w:szCs w:val="20"/>
        </w:rPr>
        <w:t xml:space="preserve">Els </w:t>
      </w:r>
      <w:r>
        <w:rPr>
          <w:rFonts w:eastAsia="Arial" w:cs="Arial" w:ascii="Arial" w:hAnsi="Arial"/>
          <w:b/>
          <w:sz w:val="20"/>
          <w:szCs w:val="20"/>
        </w:rPr>
        <w:t>treballs i activitats</w:t>
      </w:r>
      <w:r>
        <w:rPr>
          <w:rFonts w:eastAsia="Arial" w:cs="Arial" w:ascii="Arial" w:hAnsi="Arial"/>
          <w:sz w:val="20"/>
          <w:szCs w:val="20"/>
        </w:rPr>
        <w:t xml:space="preserve"> d’aula s’han de presentar puntualment en la data acordada. No s’acceptarà cap exercici o treball fora de termini, exceptuant una causa justificada fins a 3 dies després del dia d’entrega, però només tindran dret com a màxim un aprovat. Si els treballs o les activitats es lliuren un dia tard es baixarà un punt de la nota final del treball o activitat  i si es lliura dos dies tard es baixaran tres punts. Les activitats i treballs presentats a partir de 3 després de la data acordada tindrà un cero. Si l’alumnat no ha presentat les activitats i els treballs no podrà fer l’examen. </w:t>
      </w:r>
      <w:r>
        <w:rPr>
          <w:rFonts w:eastAsia="Arial" w:cs="Arial" w:ascii="Arial" w:hAnsi="Arial"/>
          <w:sz w:val="20"/>
          <w:szCs w:val="20"/>
          <w:u w:val="single"/>
        </w:rPr>
        <w:t>Les activitats i treballs presentats passats tres dies no tenen pes en la ponderació final però és obligatori lliurar-los</w:t>
      </w:r>
      <w:r>
        <w:rPr>
          <w:rFonts w:eastAsia="Arial" w:cs="Arial" w:ascii="Arial" w:hAnsi="Arial"/>
          <w:sz w:val="20"/>
          <w:szCs w:val="20"/>
        </w:rPr>
        <w:t>.</w:t>
      </w:r>
    </w:p>
    <w:p>
      <w:pPr>
        <w:pStyle w:val="Normal1"/>
        <w:spacing w:lineRule="auto" w:line="240" w:before="0" w:after="120"/>
        <w:jc w:val="both"/>
        <w:rPr>
          <w:rFonts w:ascii="Arial" w:hAnsi="Arial" w:eastAsia="Arial" w:cs="Arial"/>
          <w:sz w:val="20"/>
          <w:szCs w:val="20"/>
        </w:rPr>
      </w:pPr>
      <w:r>
        <w:rPr>
          <w:rFonts w:eastAsia="Arial" w:cs="Arial" w:ascii="Arial" w:hAnsi="Arial"/>
          <w:sz w:val="20"/>
          <w:szCs w:val="20"/>
        </w:rPr>
        <w:t xml:space="preserve">En aquest sentit, es consideraran </w:t>
      </w:r>
      <w:r>
        <w:rPr>
          <w:rFonts w:eastAsia="Arial" w:cs="Arial" w:ascii="Arial" w:hAnsi="Arial"/>
          <w:b/>
          <w:sz w:val="20"/>
          <w:szCs w:val="20"/>
        </w:rPr>
        <w:t>aspectes avaluables</w:t>
      </w:r>
      <w:r>
        <w:rPr>
          <w:rFonts w:eastAsia="Arial" w:cs="Arial" w:ascii="Arial" w:hAnsi="Arial"/>
          <w:sz w:val="20"/>
          <w:szCs w:val="20"/>
        </w:rPr>
        <w:t>: els treballs escrits individuals o en grup, les activitats pràctiques individuals o en grup, implementacions, treball diari, l’assistència i la participació activa a classe, graelles de preguntes, exàmens i proves d'avaluació,  etc.</w:t>
      </w:r>
    </w:p>
    <w:p>
      <w:pPr>
        <w:pStyle w:val="Normal1"/>
        <w:tabs>
          <w:tab w:val="clear" w:pos="720"/>
          <w:tab w:val="left" w:pos="8364" w:leader="none"/>
        </w:tabs>
        <w:spacing w:lineRule="auto" w:line="240" w:before="0" w:after="120"/>
        <w:ind w:right="142" w:hanging="0"/>
        <w:jc w:val="both"/>
        <w:rPr>
          <w:rFonts w:ascii="Arial" w:hAnsi="Arial" w:eastAsia="Arial" w:cs="Arial"/>
          <w:sz w:val="20"/>
          <w:szCs w:val="20"/>
        </w:rPr>
      </w:pPr>
      <w:r>
        <w:rPr>
          <w:rFonts w:eastAsia="Arial" w:cs="Arial" w:ascii="Arial" w:hAnsi="Arial"/>
          <w:sz w:val="20"/>
          <w:szCs w:val="20"/>
        </w:rPr>
        <w:t>L’</w:t>
      </w:r>
      <w:r>
        <w:rPr>
          <w:rFonts w:eastAsia="Arial" w:cs="Arial" w:ascii="Arial" w:hAnsi="Arial"/>
          <w:b/>
          <w:sz w:val="20"/>
          <w:szCs w:val="20"/>
        </w:rPr>
        <w:t>avaluació</w:t>
      </w:r>
      <w:r>
        <w:rPr>
          <w:rFonts w:eastAsia="Arial" w:cs="Arial" w:ascii="Arial" w:hAnsi="Arial"/>
          <w:sz w:val="20"/>
          <w:szCs w:val="20"/>
        </w:rPr>
        <w:t xml:space="preserve"> del mòdul serà </w:t>
      </w:r>
      <w:r>
        <w:rPr>
          <w:rFonts w:eastAsia="Arial" w:cs="Arial" w:ascii="Arial" w:hAnsi="Arial"/>
          <w:b/>
          <w:sz w:val="20"/>
          <w:szCs w:val="20"/>
        </w:rPr>
        <w:t>contínua i formativa</w:t>
      </w:r>
      <w:r>
        <w:rPr>
          <w:rFonts w:eastAsia="Arial" w:cs="Arial" w:ascii="Arial" w:hAnsi="Arial"/>
          <w:sz w:val="20"/>
          <w:szCs w:val="20"/>
        </w:rPr>
        <w:t xml:space="preserve"> en la qual es valoraran els progressos de l’alumnat per mitjà de l’observació i anàlisi de la seva participació a l’aula i de l’avaluació de totes les activitats proposades al llarg del curs a partir dels continguts explicitats. A més, al final de cada nucli formatiu es proposarà una activitat d'avaluació final per tal de verificar els aprenentatges assolits. </w:t>
      </w:r>
    </w:p>
    <w:p>
      <w:pPr>
        <w:pStyle w:val="Normal1"/>
        <w:jc w:val="both"/>
        <w:rPr>
          <w:rFonts w:ascii="Arial" w:hAnsi="Arial" w:eastAsia="Arial" w:cs="Arial"/>
          <w:sz w:val="20"/>
          <w:szCs w:val="20"/>
        </w:rPr>
      </w:pPr>
      <w:r>
        <w:rPr>
          <w:rFonts w:eastAsia="Arial" w:cs="Arial" w:ascii="Arial" w:hAnsi="Arial"/>
          <w:sz w:val="20"/>
          <w:szCs w:val="20"/>
        </w:rPr>
        <w:t xml:space="preserve">La </w:t>
      </w:r>
      <w:r>
        <w:rPr>
          <w:rFonts w:eastAsia="Arial" w:cs="Arial" w:ascii="Arial" w:hAnsi="Arial"/>
          <w:b/>
          <w:sz w:val="20"/>
          <w:szCs w:val="20"/>
        </w:rPr>
        <w:t>nota de la UF</w:t>
      </w:r>
      <w:r>
        <w:rPr>
          <w:rFonts w:eastAsia="Arial" w:cs="Arial" w:ascii="Arial" w:hAnsi="Arial"/>
          <w:sz w:val="20"/>
          <w:szCs w:val="20"/>
        </w:rPr>
        <w:t xml:space="preserve"> serà la mitjana ponderada de les qualificacions obtingudes en totes les activitats proposades, l’examen i les actituds i competències mostrades. La mitjana  dels  5 nuclis formatius amb les aportacions que l’equip docent consideri, serà la nota final del crèdit ( sempre i quan els 5  nuclis formatius tinguin un mínim d’una nota de 5).</w:t>
      </w:r>
    </w:p>
    <w:p>
      <w:pPr>
        <w:pStyle w:val="Normal1"/>
        <w:tabs>
          <w:tab w:val="clear" w:pos="720"/>
          <w:tab w:val="left" w:pos="8364" w:leader="none"/>
        </w:tabs>
        <w:spacing w:lineRule="auto" w:line="240" w:before="0" w:after="120"/>
        <w:ind w:right="142" w:hanging="0"/>
        <w:jc w:val="both"/>
        <w:rPr>
          <w:rFonts w:ascii="Arial" w:hAnsi="Arial" w:eastAsia="Arial" w:cs="Arial"/>
          <w:sz w:val="20"/>
          <w:szCs w:val="20"/>
        </w:rPr>
      </w:pPr>
      <w:r>
        <w:rPr>
          <w:rFonts w:eastAsia="Arial" w:cs="Arial" w:ascii="Arial" w:hAnsi="Arial"/>
          <w:sz w:val="20"/>
          <w:szCs w:val="20"/>
        </w:rPr>
        <w:t>La ponderació es farà en funció del tipus i volum de treball que cada tasca requereixi. Si la nota de l’examen i/o activitats és inferior a 4, no es fa mitjana i queda suspès el NF. En cada NF l’examen val un 50% , les activitats d’aula un 35% i els treballs un 15%. L’actitud s’avalua en cadascuna de les activitats.</w:t>
      </w:r>
    </w:p>
    <w:p>
      <w:pPr>
        <w:pStyle w:val="Normal1"/>
        <w:spacing w:lineRule="auto" w:line="240" w:before="0" w:after="120"/>
        <w:jc w:val="both"/>
        <w:rPr>
          <w:rFonts w:ascii="Arial" w:hAnsi="Arial" w:eastAsia="Arial" w:cs="Arial"/>
          <w:sz w:val="20"/>
          <w:szCs w:val="20"/>
        </w:rPr>
      </w:pPr>
      <w:r>
        <w:rPr>
          <w:rFonts w:eastAsia="Arial" w:cs="Arial" w:ascii="Arial" w:hAnsi="Arial"/>
          <w:sz w:val="20"/>
          <w:szCs w:val="20"/>
        </w:rPr>
        <w:t>És obligada l’</w:t>
      </w:r>
      <w:r>
        <w:rPr>
          <w:rFonts w:eastAsia="Arial" w:cs="Arial" w:ascii="Arial" w:hAnsi="Arial"/>
          <w:b/>
          <w:sz w:val="20"/>
          <w:szCs w:val="20"/>
        </w:rPr>
        <w:t>assistència</w:t>
      </w:r>
      <w:r>
        <w:rPr>
          <w:rFonts w:eastAsia="Arial" w:cs="Arial" w:ascii="Arial" w:hAnsi="Arial"/>
          <w:sz w:val="20"/>
          <w:szCs w:val="20"/>
        </w:rPr>
        <w:t xml:space="preserve"> al 80% de les hores lectives del mòdul per a poder ser tingut/da en compte en l’avaluació contínua. Quan l’alumnat acumuli un 10% d’hores d’inassistència, se li comunicarà oralment tot i que l’alumnat ha de ser responsable de controlar les pròpies faltes d’assistència.</w:t>
      </w:r>
    </w:p>
    <w:p>
      <w:pPr>
        <w:pStyle w:val="Normal1"/>
        <w:spacing w:lineRule="auto" w:line="240" w:before="0" w:after="120"/>
        <w:jc w:val="both"/>
        <w:rPr>
          <w:rFonts w:ascii="Arial" w:hAnsi="Arial" w:eastAsia="Arial" w:cs="Arial"/>
          <w:sz w:val="20"/>
          <w:szCs w:val="20"/>
        </w:rPr>
      </w:pPr>
      <w:r>
        <w:rPr>
          <w:rFonts w:eastAsia="Arial" w:cs="Arial" w:ascii="Arial" w:hAnsi="Arial"/>
          <w:sz w:val="20"/>
          <w:szCs w:val="20"/>
        </w:rPr>
        <w:t xml:space="preserve">La </w:t>
      </w:r>
      <w:r>
        <w:rPr>
          <w:rFonts w:eastAsia="Arial" w:cs="Arial" w:ascii="Arial" w:hAnsi="Arial"/>
          <w:b/>
          <w:sz w:val="20"/>
          <w:szCs w:val="20"/>
        </w:rPr>
        <w:t>qualificació final</w:t>
      </w:r>
      <w:r>
        <w:rPr>
          <w:rFonts w:eastAsia="Arial" w:cs="Arial" w:ascii="Arial" w:hAnsi="Arial"/>
          <w:sz w:val="20"/>
          <w:szCs w:val="20"/>
        </w:rPr>
        <w:t xml:space="preserve"> de l'alumne/a vindrà determinada per les avaluacions contínua i final, en la qual queda integrada la valoració de l’assistència,  l’actitud de cada alumne/a i les </w:t>
      </w:r>
      <w:r>
        <w:rPr>
          <w:rFonts w:eastAsia="Arial" w:cs="Arial" w:ascii="Arial" w:hAnsi="Arial"/>
          <w:b/>
          <w:sz w:val="20"/>
          <w:szCs w:val="20"/>
        </w:rPr>
        <w:t>Competències professionals, personals i socials</w:t>
      </w:r>
      <w:r>
        <w:rPr>
          <w:rFonts w:eastAsia="Arial" w:cs="Arial" w:ascii="Arial" w:hAnsi="Arial"/>
          <w:sz w:val="20"/>
          <w:szCs w:val="20"/>
        </w:rPr>
        <w:t xml:space="preserve"> vinculades a aquest mòdul professional.</w:t>
      </w:r>
    </w:p>
    <w:p>
      <w:pPr>
        <w:pStyle w:val="Normal1"/>
        <w:spacing w:lineRule="auto" w:line="240" w:before="0" w:after="120"/>
        <w:jc w:val="both"/>
        <w:rPr>
          <w:rFonts w:ascii="Arial" w:hAnsi="Arial" w:eastAsia="Arial" w:cs="Arial"/>
          <w:sz w:val="20"/>
          <w:szCs w:val="20"/>
        </w:rPr>
      </w:pPr>
      <w:r>
        <w:rPr>
          <w:rFonts w:eastAsia="Arial" w:cs="Arial" w:ascii="Arial" w:hAnsi="Arial"/>
          <w:sz w:val="20"/>
          <w:szCs w:val="20"/>
        </w:rPr>
        <w:t xml:space="preserve">La </w:t>
      </w:r>
      <w:r>
        <w:rPr>
          <w:rFonts w:eastAsia="Arial" w:cs="Arial" w:ascii="Arial" w:hAnsi="Arial"/>
          <w:b/>
          <w:sz w:val="20"/>
          <w:szCs w:val="20"/>
        </w:rPr>
        <w:t>superació del mòdul</w:t>
      </w:r>
      <w:r>
        <w:rPr>
          <w:rFonts w:eastAsia="Arial" w:cs="Arial" w:ascii="Arial" w:hAnsi="Arial"/>
          <w:sz w:val="20"/>
          <w:szCs w:val="20"/>
        </w:rPr>
        <w:t xml:space="preserve"> s’obté amb la superació de la UF. S’ha d’obtenir una nota superior a 5 per acreditar la UF.</w:t>
      </w:r>
    </w:p>
    <w:p>
      <w:pPr>
        <w:pStyle w:val="Normal1"/>
        <w:ind w:left="426" w:hanging="0"/>
        <w:jc w:val="both"/>
        <w:rPr>
          <w:rFonts w:ascii="Arial" w:hAnsi="Arial" w:eastAsia="Arial" w:cs="Arial"/>
          <w:sz w:val="20"/>
          <w:szCs w:val="20"/>
        </w:rPr>
      </w:pPr>
      <w:r>
        <w:rPr>
          <w:rFonts w:eastAsia="Arial" w:cs="Arial" w:ascii="Arial" w:hAnsi="Arial"/>
          <w:sz w:val="20"/>
          <w:szCs w:val="20"/>
        </w:rPr>
      </w:r>
    </w:p>
    <w:p>
      <w:pPr>
        <w:pStyle w:val="Normal1"/>
        <w:jc w:val="both"/>
        <w:rPr>
          <w:rFonts w:ascii="Arial" w:hAnsi="Arial" w:eastAsia="Arial" w:cs="Arial"/>
          <w:sz w:val="20"/>
          <w:szCs w:val="20"/>
        </w:rPr>
      </w:pPr>
      <w:r>
        <w:rPr>
          <w:rFonts w:eastAsia="Arial" w:cs="Arial" w:ascii="Arial" w:hAnsi="Arial"/>
          <w:b/>
          <w:sz w:val="20"/>
          <w:szCs w:val="20"/>
          <w:u w:val="single"/>
        </w:rPr>
        <w:t>Absència en dia d’examen i treballs no entregats:</w:t>
      </w:r>
      <w:r>
        <w:rPr>
          <w:rFonts w:eastAsia="Arial" w:cs="Arial" w:ascii="Arial" w:hAnsi="Arial"/>
          <w:sz w:val="20"/>
          <w:szCs w:val="20"/>
        </w:rPr>
        <w:t xml:space="preserve"> Si un/a alumne/a no es presenta el dia d’examen i/o el dia d’entrega d’un treball, no se’l permetrà fer-lo i/o entregar-lo en una altra data. Si hi ha una causa de força major (amb justificació documental) es permetrà presentar-se a l’examen però només es permetrà una vegada. El mateix criteri se seguirà per la presentació dels treballs.</w:t>
      </w:r>
      <w:r>
        <w:rPr>
          <w:rFonts w:eastAsia="Arial" w:cs="Arial" w:ascii="Arial" w:hAnsi="Arial"/>
          <w:sz w:val="20"/>
          <w:szCs w:val="20"/>
          <w:u w:val="single"/>
        </w:rPr>
        <w:t>Recordem: Aquesta situació es permetrà només una vegada al llarg del mòdul.</w:t>
      </w:r>
    </w:p>
    <w:p>
      <w:pPr>
        <w:pStyle w:val="Normal1"/>
        <w:ind w:left="426" w:hanging="0"/>
        <w:jc w:val="both"/>
        <w:rPr>
          <w:rFonts w:ascii="Arial" w:hAnsi="Arial" w:eastAsia="Arial" w:cs="Arial"/>
          <w:sz w:val="20"/>
          <w:szCs w:val="20"/>
        </w:rPr>
      </w:pPr>
      <w:r>
        <w:rPr>
          <w:rFonts w:eastAsia="Arial" w:cs="Arial" w:ascii="Arial" w:hAnsi="Arial"/>
          <w:sz w:val="20"/>
          <w:szCs w:val="20"/>
        </w:rPr>
      </w:r>
    </w:p>
    <w:p>
      <w:pPr>
        <w:pStyle w:val="Normal1"/>
        <w:spacing w:lineRule="auto" w:line="240" w:before="0" w:after="120"/>
        <w:jc w:val="both"/>
        <w:rPr>
          <w:rFonts w:ascii="Arial" w:hAnsi="Arial" w:eastAsia="Arial" w:cs="Arial"/>
          <w:b/>
          <w:b/>
          <w:sz w:val="20"/>
          <w:szCs w:val="20"/>
          <w:u w:val="single"/>
        </w:rPr>
      </w:pPr>
      <w:r>
        <w:rPr>
          <w:rFonts w:eastAsia="Arial" w:cs="Arial" w:ascii="Arial" w:hAnsi="Arial"/>
          <w:b/>
          <w:sz w:val="20"/>
          <w:szCs w:val="20"/>
          <w:u w:val="single"/>
        </w:rPr>
        <w:t>Recuperació:</w:t>
      </w:r>
    </w:p>
    <w:p>
      <w:pPr>
        <w:pStyle w:val="Normal1"/>
        <w:spacing w:lineRule="auto" w:line="240" w:before="0" w:after="120"/>
        <w:jc w:val="both"/>
        <w:rPr>
          <w:rFonts w:ascii="Arial" w:hAnsi="Arial" w:eastAsia="Arial" w:cs="Arial"/>
          <w:sz w:val="20"/>
          <w:szCs w:val="20"/>
        </w:rPr>
      </w:pPr>
      <w:bookmarkStart w:id="0" w:name="_heading=h.gjdgxs"/>
      <w:bookmarkEnd w:id="0"/>
      <w:r>
        <w:rPr>
          <w:rFonts w:eastAsia="Arial" w:cs="Arial" w:ascii="Arial" w:hAnsi="Arial"/>
          <w:sz w:val="20"/>
          <w:szCs w:val="20"/>
        </w:rPr>
        <w:t>Quan la puntuació final d’un NF no arribi a 5, es podrà recuperar al final de cada nucli, però la nota no podrà superar el 6. Aquesta recuperació constarà d’una prova escrita de tot el que s’hagi fet en el nucli, inclosos els treballs, les xerrades i les sortides. Cal presentar-se a la recuperació de cada nucli, quan la prova escrita de la unitat no superi el 4 i es vol aprovar la unitat.</w:t>
      </w:r>
    </w:p>
    <w:p>
      <w:pPr>
        <w:pStyle w:val="Normal1"/>
        <w:spacing w:lineRule="auto" w:line="240" w:before="0" w:after="120"/>
        <w:jc w:val="both"/>
        <w:rPr>
          <w:rFonts w:ascii="Arial" w:hAnsi="Arial" w:eastAsia="Arial" w:cs="Arial"/>
          <w:sz w:val="20"/>
          <w:szCs w:val="20"/>
        </w:rPr>
      </w:pPr>
      <w:r>
        <w:rPr>
          <w:rFonts w:eastAsia="Arial" w:cs="Arial" w:ascii="Arial" w:hAnsi="Arial"/>
          <w:sz w:val="20"/>
          <w:szCs w:val="20"/>
        </w:rPr>
        <w:t xml:space="preserve">La </w:t>
      </w:r>
      <w:r>
        <w:rPr>
          <w:rFonts w:eastAsia="Arial" w:cs="Arial" w:ascii="Arial" w:hAnsi="Arial"/>
          <w:b/>
          <w:sz w:val="20"/>
          <w:szCs w:val="20"/>
        </w:rPr>
        <w:t>segona convocatòria d’avaluació</w:t>
      </w:r>
      <w:r>
        <w:rPr>
          <w:rFonts w:eastAsia="Arial" w:cs="Arial" w:ascii="Arial" w:hAnsi="Arial"/>
          <w:sz w:val="20"/>
          <w:szCs w:val="20"/>
        </w:rPr>
        <w:t xml:space="preserve"> del Mòdul Professional s’efectuarà al juny i l’alumne/a s’haurà d’examinar de la unitat formativa suspesa sencera. </w:t>
      </w:r>
    </w:p>
    <w:p>
      <w:pPr>
        <w:pStyle w:val="Normal1"/>
        <w:spacing w:lineRule="auto" w:line="240" w:before="0" w:after="120"/>
        <w:jc w:val="both"/>
        <w:rPr>
          <w:rFonts w:ascii="Arial" w:hAnsi="Arial" w:eastAsia="Arial" w:cs="Arial"/>
          <w:sz w:val="20"/>
          <w:szCs w:val="20"/>
        </w:rPr>
      </w:pPr>
      <w:r>
        <w:rPr>
          <w:rFonts w:eastAsia="Arial" w:cs="Arial" w:ascii="Arial" w:hAnsi="Arial"/>
          <w:sz w:val="20"/>
          <w:szCs w:val="20"/>
        </w:rPr>
        <w:t xml:space="preserve">Els alumnes que perdin l’avaluació contínua, aquells/es alumnes que acumulin un percentatge d’hores igual o superior al 20% (incloses faltes justificades i retards), hauran de presentar-se a una </w:t>
      </w:r>
      <w:r>
        <w:rPr>
          <w:rFonts w:eastAsia="Arial" w:cs="Arial" w:ascii="Arial" w:hAnsi="Arial"/>
          <w:b/>
          <w:sz w:val="20"/>
          <w:szCs w:val="20"/>
        </w:rPr>
        <w:t>segona convocatòria.</w:t>
      </w:r>
      <w:r>
        <w:rPr>
          <w:rFonts w:eastAsia="Arial" w:cs="Arial" w:ascii="Arial" w:hAnsi="Arial"/>
          <w:sz w:val="20"/>
          <w:szCs w:val="20"/>
        </w:rPr>
        <w:t xml:space="preserve"> També assistiran a aquesta convocatòria aquells/es alumnes que no hagin superat la primera convocatòria ni hagin presentat les activitats avaluables demandades.</w:t>
      </w:r>
    </w:p>
    <w:p>
      <w:pPr>
        <w:pStyle w:val="Normal1"/>
        <w:spacing w:lineRule="auto" w:line="240" w:before="0" w:after="120"/>
        <w:jc w:val="both"/>
        <w:rPr>
          <w:rFonts w:ascii="Arial" w:hAnsi="Arial" w:eastAsia="Arial" w:cs="Arial"/>
          <w:sz w:val="20"/>
          <w:szCs w:val="20"/>
        </w:rPr>
      </w:pPr>
      <w:r>
        <w:rPr>
          <w:rFonts w:eastAsia="Arial" w:cs="Arial" w:ascii="Arial" w:hAnsi="Arial"/>
          <w:sz w:val="20"/>
          <w:szCs w:val="20"/>
        </w:rPr>
        <w:t>En cas de no superar la segona convocatòria la UF, l’alumne/a s’haurà de tornar a matricular d’aquesta UF, per tant del mòdul pel curs següent.</w:t>
      </w:r>
    </w:p>
    <w:p>
      <w:pPr>
        <w:pStyle w:val="Normal1"/>
        <w:jc w:val="both"/>
        <w:rPr>
          <w:rFonts w:ascii="Arial" w:hAnsi="Arial" w:eastAsia="Arial" w:cs="Arial"/>
          <w:i/>
          <w:i/>
        </w:rPr>
      </w:pPr>
      <w:r>
        <w:rPr>
          <w:rFonts w:eastAsia="Arial" w:cs="Arial" w:ascii="Arial" w:hAnsi="Arial"/>
          <w:i/>
        </w:rPr>
      </w:r>
    </w:p>
    <w:p>
      <w:pPr>
        <w:pStyle w:val="Normal1"/>
        <w:rPr>
          <w:sz w:val="20"/>
          <w:szCs w:val="20"/>
        </w:rPr>
      </w:pPr>
      <w:r>
        <w:rPr>
          <w:sz w:val="20"/>
          <w:szCs w:val="20"/>
        </w:rPr>
      </w:r>
      <w:r>
        <w:br w:type="page"/>
      </w:r>
    </w:p>
    <w:p>
      <w:pPr>
        <w:pStyle w:val="Normal1"/>
        <w:tabs>
          <w:tab w:val="clear" w:pos="720"/>
          <w:tab w:val="left" w:pos="786" w:leader="none"/>
        </w:tabs>
        <w:spacing w:lineRule="auto" w:line="240" w:before="0" w:after="0"/>
        <w:rPr>
          <w:rFonts w:ascii="Arial" w:hAnsi="Arial" w:eastAsia="Arial" w:cs="Arial"/>
          <w:b/>
          <w:b/>
          <w:sz w:val="20"/>
          <w:szCs w:val="20"/>
        </w:rPr>
      </w:pPr>
      <w:r>
        <w:rPr>
          <w:rFonts w:eastAsia="Arial" w:cs="Arial" w:ascii="Arial" w:hAnsi="Arial"/>
          <w:b/>
          <w:sz w:val="20"/>
          <w:szCs w:val="20"/>
        </w:rPr>
      </w:r>
      <w:r>
        <w:br w:type="page"/>
      </w:r>
    </w:p>
    <w:p>
      <w:pPr>
        <w:pStyle w:val="Normal1"/>
        <w:tabs>
          <w:tab w:val="clear" w:pos="720"/>
          <w:tab w:val="left" w:pos="786" w:leader="none"/>
        </w:tabs>
        <w:spacing w:lineRule="auto" w:line="240" w:before="0" w:after="0"/>
        <w:rPr>
          <w:rFonts w:ascii="Arial" w:hAnsi="Arial" w:eastAsia="Arial" w:cs="Arial"/>
          <w:b/>
          <w:b/>
          <w:sz w:val="20"/>
          <w:szCs w:val="20"/>
        </w:rPr>
      </w:pPr>
      <w:r>
        <w:rPr>
          <w:rFonts w:eastAsia="Arial" w:cs="Arial" w:ascii="Arial" w:hAnsi="Arial"/>
          <w:b/>
          <w:sz w:val="20"/>
          <w:szCs w:val="20"/>
        </w:rPr>
      </w:r>
    </w:p>
    <w:p>
      <w:pPr>
        <w:pStyle w:val="Normal1"/>
        <w:spacing w:before="0" w:after="200"/>
        <w:rPr>
          <w:sz w:val="20"/>
          <w:szCs w:val="20"/>
        </w:rPr>
      </w:pPr>
      <w:r>
        <w:rPr/>
      </w:r>
    </w:p>
    <w:sectPr>
      <w:type w:val="nextPage"/>
      <w:pgSz w:w="11906" w:h="16838"/>
      <w:pgMar w:left="1701" w:right="1701" w:header="0" w:top="1417" w:footer="0"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ca-ES" w:eastAsia="zh-CN" w:bidi="hi-IN"/>
      </w:rPr>
    </w:rPrDefault>
    <w:pPrDefault>
      <w:pPr>
        <w:suppressAutoHyphens w:val="true"/>
      </w:pPr>
    </w:pPrDefault>
  </w:docDefaults>
  <w:style w:type="paragraph" w:styleId="Normal" w:default="1">
    <w:name w:val="Normal"/>
    <w:qFormat/>
    <w:rsid w:val="00f01828"/>
    <w:pPr>
      <w:widowControl/>
      <w:bidi w:val="0"/>
      <w:spacing w:lineRule="auto" w:line="276" w:before="0" w:after="200"/>
      <w:jc w:val="left"/>
    </w:pPr>
    <w:rPr>
      <w:rFonts w:ascii="Calibri" w:hAnsi="Calibri" w:eastAsia="Times New Roman" w:cs="Times New Roman"/>
      <w:color w:val="auto"/>
      <w:kern w:val="0"/>
      <w:sz w:val="22"/>
      <w:szCs w:val="22"/>
      <w:lang w:val="ca-ES" w:eastAsia="ca-ES" w:bidi="hi-IN"/>
    </w:rPr>
  </w:style>
  <w:style w:type="paragraph" w:styleId="Encapalament1">
    <w:name w:val="Heading 1"/>
    <w:basedOn w:val="Normal1"/>
    <w:next w:val="Normal1"/>
    <w:qFormat/>
    <w:pPr>
      <w:keepNext w:val="true"/>
      <w:keepLines/>
      <w:pageBreakBefore w:val="false"/>
      <w:spacing w:lineRule="auto" w:line="240" w:before="480" w:after="120"/>
    </w:pPr>
    <w:rPr>
      <w:b/>
      <w:sz w:val="48"/>
      <w:szCs w:val="48"/>
    </w:rPr>
  </w:style>
  <w:style w:type="paragraph" w:styleId="Encapalament2">
    <w:name w:val="Heading 2"/>
    <w:basedOn w:val="Normal1"/>
    <w:next w:val="Normal1"/>
    <w:qFormat/>
    <w:pPr>
      <w:keepNext w:val="true"/>
      <w:keepLines/>
      <w:pageBreakBefore w:val="false"/>
      <w:spacing w:lineRule="auto" w:line="240" w:before="360" w:after="80"/>
    </w:pPr>
    <w:rPr>
      <w:b/>
      <w:sz w:val="36"/>
      <w:szCs w:val="36"/>
    </w:rPr>
  </w:style>
  <w:style w:type="paragraph" w:styleId="Encapalament3">
    <w:name w:val="Heading 3"/>
    <w:basedOn w:val="Normal1"/>
    <w:next w:val="Normal1"/>
    <w:qFormat/>
    <w:pPr>
      <w:keepNext w:val="true"/>
      <w:keepLines/>
      <w:pageBreakBefore w:val="false"/>
      <w:spacing w:lineRule="auto" w:line="240" w:before="280" w:after="80"/>
    </w:pPr>
    <w:rPr>
      <w:b/>
      <w:sz w:val="28"/>
      <w:szCs w:val="28"/>
    </w:rPr>
  </w:style>
  <w:style w:type="paragraph" w:styleId="Encapalament4">
    <w:name w:val="Heading 4"/>
    <w:basedOn w:val="Normal1"/>
    <w:next w:val="Normal1"/>
    <w:qFormat/>
    <w:pPr>
      <w:keepNext w:val="true"/>
      <w:keepLines/>
      <w:pageBreakBefore w:val="false"/>
      <w:spacing w:lineRule="auto" w:line="240" w:before="240" w:after="40"/>
    </w:pPr>
    <w:rPr>
      <w:b/>
      <w:sz w:val="24"/>
      <w:szCs w:val="24"/>
    </w:rPr>
  </w:style>
  <w:style w:type="paragraph" w:styleId="Encapalament5">
    <w:name w:val="Heading 5"/>
    <w:basedOn w:val="Normal1"/>
    <w:next w:val="Normal1"/>
    <w:qFormat/>
    <w:pPr>
      <w:keepNext w:val="true"/>
      <w:keepLines/>
      <w:pageBreakBefore w:val="false"/>
      <w:spacing w:lineRule="auto" w:line="240" w:before="220" w:after="40"/>
    </w:pPr>
    <w:rPr>
      <w:b/>
      <w:sz w:val="22"/>
      <w:szCs w:val="22"/>
    </w:rPr>
  </w:style>
  <w:style w:type="paragraph" w:styleId="Encapalament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Encapalament">
    <w:name w:val="Encapçalament"/>
    <w:basedOn w:val="Normal"/>
    <w:next w:val="Cosdeltext"/>
    <w:qFormat/>
    <w:pPr>
      <w:keepNext w:val="true"/>
      <w:spacing w:before="240" w:after="120"/>
    </w:pPr>
    <w:rPr>
      <w:rFonts w:ascii="Liberation Sans" w:hAnsi="Liberation Sans" w:eastAsia="Microsoft YaHei" w:cs="Arial"/>
      <w:sz w:val="28"/>
      <w:szCs w:val="28"/>
    </w:rPr>
  </w:style>
  <w:style w:type="paragraph" w:styleId="Cosdeltext">
    <w:name w:val="Body Text"/>
    <w:basedOn w:val="Normal"/>
    <w:pPr>
      <w:spacing w:lineRule="auto" w:line="276" w:before="0" w:after="140"/>
    </w:pPr>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ca-ES" w:eastAsia="zh-CN" w:bidi="hi-IN"/>
    </w:rPr>
  </w:style>
  <w:style w:type="paragraph" w:styleId="Ttol">
    <w:name w:val="Title"/>
    <w:basedOn w:val="Normal1"/>
    <w:next w:val="Normal1"/>
    <w:qFormat/>
    <w:pPr>
      <w:keepNext w:val="true"/>
      <w:keepLines/>
      <w:pageBreakBefore w:val="false"/>
      <w:spacing w:lineRule="auto" w:line="240" w:before="480" w:after="120"/>
    </w:pPr>
    <w:rPr>
      <w:b/>
      <w:sz w:val="72"/>
      <w:szCs w:val="72"/>
    </w:rPr>
  </w:style>
  <w:style w:type="paragraph" w:styleId="Standard" w:customStyle="1">
    <w:name w:val="Standard"/>
    <w:qFormat/>
    <w:rsid w:val="00f01828"/>
    <w:pPr>
      <w:widowControl/>
      <w:suppressAutoHyphens w:val="true"/>
      <w:bidi w:val="0"/>
      <w:spacing w:lineRule="auto" w:line="240" w:before="0" w:after="0"/>
      <w:jc w:val="left"/>
    </w:pPr>
    <w:rPr>
      <w:rFonts w:ascii="Times New Roman" w:hAnsi="Times New Roman" w:eastAsia="Times New Roman" w:cs="Times New Roman"/>
      <w:color w:val="auto"/>
      <w:kern w:val="2"/>
      <w:sz w:val="24"/>
      <w:szCs w:val="20"/>
      <w:lang w:val="ca-ES" w:eastAsia="es-ES" w:bidi="hi-IN"/>
    </w:rPr>
  </w:style>
  <w:style w:type="paragraph" w:styleId="ListParagraph">
    <w:name w:val="List Paragraph"/>
    <w:basedOn w:val="Normal1"/>
    <w:uiPriority w:val="34"/>
    <w:qFormat/>
    <w:rsid w:val="002d7447"/>
    <w:pPr>
      <w:spacing w:before="0" w:after="200"/>
      <w:ind w:left="720" w:hanging="0"/>
      <w:contextualSpacing/>
    </w:pPr>
    <w:rPr/>
  </w:style>
  <w:style w:type="paragraph" w:styleId="Subttol">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BWooYPdasZ3apLUKS7UECDD6GnQ==">AMUW2mVkkXjt7Kd0y8Zz+2T4V8ztM5uO6FjfVZlz8KFc9JfINPHikgq/gfmDkc2wKtyVZxEg6cH+oRvuh7pYrv5A2JKSIrBPdsr7N/OnpC7J6EhBMzKquUVzSzX2LFdA3BBObj4axQGH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LibreOffice/7.0.6.2$Windows_X86_64 LibreOffice_project/144abb84a525d8e30c9dbbefa69cbbf2d8d4ae3b</Application>
  <AppVersion>15.0000</AppVersion>
  <Pages>4</Pages>
  <Words>1042</Words>
  <Characters>5389</Characters>
  <CharactersWithSpaces>6378</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2019-09-09T08:57:00Z</dcterms:created>
  <dc:creator>profe</dc:creator>
  <dc:description/>
  <dc:language>ca-ES</dc:language>
  <cp:lastModifiedBy/>
  <cp:revision>0</cp:revision>
  <dc:subject/>
  <dc:title/>
</cp:coreProperties>
</file>