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ind w:lef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>
      <w:pPr>
        <w:pStyle w:val="LOnormal"/>
        <w:pageBreakBefore w:val="false"/>
        <w:ind w:lef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CRITERIS D’AVALUACIÓ  Mòdul Professional 10: Primers Auxilis</w:t>
      </w:r>
    </w:p>
    <w:p>
      <w:pPr>
        <w:pStyle w:val="LOnormal"/>
        <w:pageBreakBefore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left="720" w:right="0" w:hanging="36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L’avaluació de l’alumnat és un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procés continu i individual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que té per finalitat determinar el grau d’assoliment dels continguts proposats.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72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left="720" w:right="0" w:hanging="36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Es duran a terme al llarg del mòdul,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activitats avaluables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que facilitaran </w:t>
      </w:r>
      <w:r>
        <w:rPr/>
        <w:t xml:space="preserve">que l’alumnat assimili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progressivament continguts.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200"/>
        <w:ind w:left="720" w:right="0" w:hanging="36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Aquesta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avaluació continua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serà la que determinarà l’avaluació final dels resultats aconseguits per l’alumnat quan acabi el procés d’aprenentatge.</w:t>
      </w:r>
    </w:p>
    <w:p>
      <w:pPr>
        <w:pStyle w:val="LOnormal"/>
        <w:pageBreakBefore w:val="false"/>
        <w:numPr>
          <w:ilvl w:val="0"/>
          <w:numId w:val="2"/>
        </w:numPr>
        <w:spacing w:lineRule="auto" w:line="240" w:before="240" w:after="120"/>
        <w:ind w:left="720" w:hanging="360"/>
        <w:jc w:val="both"/>
        <w:rPr/>
      </w:pPr>
      <w:r>
        <w:rPr/>
        <w:t xml:space="preserve">Es consideraran </w:t>
      </w:r>
      <w:r>
        <w:rPr>
          <w:b/>
        </w:rPr>
        <w:t>aspectes avaluables</w:t>
      </w:r>
      <w:r>
        <w:rPr/>
        <w:t xml:space="preserve">: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065" w:right="0" w:hanging="357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•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Les proves escrites o orals.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065" w:right="0" w:hanging="357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•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Les activitats i treballs individuals.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065" w:right="0" w:hanging="357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•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Les activitats i treballs en grup.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1065" w:right="0" w:hanging="357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•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El treball diari, la participació i l’actitud a classe.</w:t>
      </w:r>
    </w:p>
    <w:p>
      <w:pPr>
        <w:pStyle w:val="LOnormal"/>
        <w:pageBreakBefore w:val="false"/>
        <w:numPr>
          <w:ilvl w:val="0"/>
          <w:numId w:val="2"/>
        </w:numPr>
        <w:spacing w:lineRule="auto" w:line="240" w:before="240" w:after="120"/>
        <w:ind w:left="720" w:hanging="360"/>
        <w:jc w:val="both"/>
        <w:rPr/>
      </w:pPr>
      <w:r>
        <w:rPr/>
        <w:t>Per a superar el Mòdul professional cal superar independentment les diferents Unitats Formatives.</w:t>
      </w:r>
    </w:p>
    <w:p>
      <w:pPr>
        <w:pStyle w:val="LOnormal"/>
        <w:pageBreakBefore w:val="false"/>
        <w:spacing w:lineRule="auto" w:line="240" w:before="240" w:after="120"/>
        <w:jc w:val="both"/>
        <w:rPr/>
      </w:pPr>
      <w:r>
        <w:rPr/>
        <w:t>Criteris d’avaluació:</w:t>
      </w:r>
    </w:p>
    <w:p>
      <w:pPr>
        <w:pStyle w:val="LOnormal"/>
        <w:pageBreakBefore w:val="false"/>
        <w:spacing w:lineRule="auto" w:line="240" w:before="240" w:after="120"/>
        <w:jc w:val="both"/>
        <w:rPr/>
      </w:pPr>
      <w:r>
        <w:rPr/>
        <w:t>UF1: 70% (exàmens) + 30% ( Activitats de classe i sessions pràctiques)</w:t>
      </w:r>
    </w:p>
    <w:p>
      <w:pPr>
        <w:pStyle w:val="LOnormal"/>
        <w:pageBreakBefore w:val="false"/>
        <w:spacing w:lineRule="auto" w:line="240" w:before="240" w:after="120"/>
        <w:jc w:val="both"/>
        <w:rPr/>
      </w:pPr>
      <w:r>
        <w:rPr/>
        <w:t>UF2: 50% (exàmens) + 50% ( Activitats de classe i sessions pràctiques)</w:t>
      </w:r>
    </w:p>
    <w:p>
      <w:pPr>
        <w:pStyle w:val="LOnormal"/>
        <w:pageBreakBefore w:val="false"/>
        <w:spacing w:lineRule="auto" w:line="240" w:before="240" w:after="120"/>
        <w:jc w:val="both"/>
        <w:rPr/>
      </w:pPr>
      <w:r>
        <w:rPr/>
        <w:t>UF3: 50% (examen) +  50% ( Activitats de classe i sessions pràctiques)</w:t>
      </w:r>
    </w:p>
    <w:p>
      <w:pPr>
        <w:pStyle w:val="LOnormal"/>
        <w:pageBreakBefore w:val="false"/>
        <w:numPr>
          <w:ilvl w:val="0"/>
          <w:numId w:val="2"/>
        </w:numPr>
        <w:spacing w:lineRule="auto" w:line="240" w:before="240" w:after="120"/>
        <w:ind w:left="720" w:hanging="360"/>
        <w:jc w:val="both"/>
        <w:rPr/>
      </w:pPr>
      <w:r>
        <w:rPr/>
        <w:t xml:space="preserve">A l’inici de cada UF la professora establirà els instruments per a la seva avaluació i la ponderació de cadascun per a obtenir la </w:t>
      </w:r>
      <w:r>
        <w:rPr>
          <w:b/>
        </w:rPr>
        <w:t>nota final de la UF</w:t>
      </w:r>
      <w:r>
        <w:rPr/>
        <w:t xml:space="preserve">. Aquests </w:t>
      </w:r>
      <w:r>
        <w:rPr>
          <w:b/>
        </w:rPr>
        <w:t>instruments d’avaluació</w:t>
      </w:r>
      <w:r>
        <w:rPr/>
        <w:t xml:space="preserve"> i la seva ponderació poden variar en cada UF, però en general, seran:</w:t>
      </w:r>
    </w:p>
    <w:p>
      <w:pPr>
        <w:pStyle w:val="LO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fill="auto"/>
        <w:spacing w:lineRule="auto" w:line="240" w:before="0" w:after="0"/>
        <w:ind w:left="144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Prova escrita de tots els continguts, al finalitzar cada nucli formatiu ( fa mitja a partir d’un 4).</w:t>
      </w:r>
    </w:p>
    <w:p>
      <w:pPr>
        <w:pStyle w:val="LO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fill="auto"/>
        <w:spacing w:lineRule="auto" w:line="240" w:before="0" w:after="0"/>
        <w:ind w:left="1440" w:right="0" w:hanging="36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Activitat pràctica d’execució de les tècniques o procediments estudiats a la UF.</w:t>
      </w:r>
    </w:p>
    <w:p>
      <w:pPr>
        <w:pStyle w:val="LO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fill="auto"/>
        <w:spacing w:lineRule="auto" w:line="240" w:before="0" w:after="0"/>
        <w:ind w:left="1440" w:right="0" w:hanging="36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Exposició oral de treballs individuals o en grup.</w:t>
      </w:r>
    </w:p>
    <w:p>
      <w:pPr>
        <w:pStyle w:val="LOnormal"/>
        <w:keepNext w:val="false"/>
        <w:keepLines w:val="false"/>
        <w:pageBreakBefore w:val="false"/>
        <w:widowControl/>
        <w:numPr>
          <w:ilvl w:val="1"/>
          <w:numId w:val="2"/>
        </w:numPr>
        <w:shd w:val="clear" w:fill="auto"/>
        <w:spacing w:lineRule="auto" w:line="240" w:before="0" w:after="0"/>
        <w:ind w:left="1440" w:right="0" w:hanging="36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La participació i implicació a classe.</w:t>
      </w:r>
    </w:p>
    <w:p>
      <w:pPr>
        <w:pStyle w:val="LOnormal"/>
        <w:pageBreakBefore w:val="false"/>
        <w:numPr>
          <w:ilvl w:val="0"/>
          <w:numId w:val="2"/>
        </w:numPr>
        <w:spacing w:lineRule="auto" w:line="240" w:before="120" w:after="120"/>
        <w:ind w:left="720" w:hanging="360"/>
        <w:jc w:val="both"/>
        <w:rPr/>
      </w:pPr>
      <w:r>
        <w:rPr/>
        <w:t xml:space="preserve">D’acord a la ponderació de cada Unitat Formativa, la </w:t>
      </w:r>
      <w:r>
        <w:rPr>
          <w:b/>
        </w:rPr>
        <w:t>qualificació del Mòdul Professional (</w:t>
      </w:r>
      <w:r>
        <w:rPr>
          <w:b/>
          <w:i/>
        </w:rPr>
        <w:t>Q</w:t>
      </w:r>
      <w:r>
        <w:rPr>
          <w:b/>
          <w:i/>
          <w:vertAlign w:val="subscript"/>
        </w:rPr>
        <w:t>MP</w:t>
      </w:r>
      <w:r>
        <w:rPr>
          <w:b/>
        </w:rPr>
        <w:t>)</w:t>
      </w:r>
      <w:r>
        <w:rPr/>
        <w:t xml:space="preserve"> s’obté a partir de la fórmula següent:</w:t>
      </w:r>
    </w:p>
    <w:p>
      <w:pPr>
        <w:pStyle w:val="LOnormal"/>
        <w:pageBreakBefore w:val="false"/>
        <w:spacing w:lineRule="auto" w:line="240" w:before="360" w:after="360"/>
        <w:ind w:left="360" w:right="-227" w:hanging="0"/>
        <w:jc w:val="center"/>
        <w:rPr>
          <w:b/>
          <w:b/>
        </w:rPr>
      </w:pPr>
      <w:r>
        <w:rPr>
          <w:b/>
        </w:rPr>
        <w:t>Q</w:t>
      </w:r>
      <w:r>
        <w:rPr>
          <w:b/>
          <w:vertAlign w:val="subscript"/>
        </w:rPr>
        <w:t>MP</w:t>
      </w:r>
      <w:r>
        <w:rPr>
          <w:b/>
        </w:rPr>
        <w:t xml:space="preserve"> = (0,33 x Q</w:t>
      </w:r>
      <w:r>
        <w:rPr>
          <w:b/>
          <w:vertAlign w:val="subscript"/>
        </w:rPr>
        <w:t>UF1</w:t>
      </w:r>
      <w:r>
        <w:rPr>
          <w:b/>
        </w:rPr>
        <w:t>) + (0,33 x Q</w:t>
      </w:r>
      <w:r>
        <w:rPr>
          <w:b/>
          <w:vertAlign w:val="subscript"/>
        </w:rPr>
        <w:t>UF2</w:t>
      </w:r>
      <w:r>
        <w:rPr>
          <w:b/>
        </w:rPr>
        <w:t>) + (0,33 x Q</w:t>
      </w:r>
      <w:r>
        <w:rPr>
          <w:b/>
          <w:vertAlign w:val="subscript"/>
        </w:rPr>
        <w:t>UF3</w:t>
      </w:r>
      <w:r>
        <w:rPr>
          <w:b/>
        </w:rPr>
        <w:t>)</w:t>
      </w:r>
    </w:p>
    <w:p>
      <w:pPr>
        <w:pStyle w:val="LOnormal"/>
        <w:pageBreakBefore w:val="false"/>
        <w:numPr>
          <w:ilvl w:val="0"/>
          <w:numId w:val="2"/>
        </w:numPr>
        <w:spacing w:lineRule="auto" w:line="240" w:before="120" w:after="120"/>
        <w:ind w:left="720" w:hanging="360"/>
        <w:jc w:val="both"/>
        <w:rPr/>
      </w:pPr>
      <w:r>
        <w:rPr/>
        <w:t xml:space="preserve">Les Unitats Formatives tenen una finalitat terminal, això vol dir que per cadascuna s’obtindrà una qualificació final i si aquesta se supera (s’obté una nota superior a 5) s’atorga la seva </w:t>
      </w:r>
      <w:r>
        <w:rPr>
          <w:b/>
        </w:rPr>
        <w:t>acreditació</w:t>
      </w:r>
      <w:r>
        <w:rPr/>
        <w:t>, encara que no s’hagi superat el mòdul formatiu.</w:t>
      </w:r>
    </w:p>
    <w:p>
      <w:pPr>
        <w:pStyle w:val="LOnormal"/>
        <w:pageBreakBefore w:val="false"/>
        <w:numPr>
          <w:ilvl w:val="0"/>
          <w:numId w:val="2"/>
        </w:numPr>
        <w:spacing w:lineRule="auto" w:line="240" w:before="120" w:after="120"/>
        <w:ind w:left="720" w:hanging="360"/>
        <w:jc w:val="both"/>
        <w:rPr/>
      </w:pPr>
      <w:r>
        <w:rPr/>
        <w:t>La professora establirà el calendari i les estratègies de recuperació de la o les UF que restin suspeses.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12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L'avaluació contínua requereix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l'assistència regular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dels alumnes i les alumnes a les classes i les activitats programades de cada Unitat Formativa.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12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Els/les alumnes que faltin un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30% de les hores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establertes per a cada UF, </w:t>
      </w:r>
      <w:r>
        <w:rPr/>
        <w:t>7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hores, no podran optar a l’ avaluació de la Unitat Formativa per aquesta via, i ho hauran de fer mitjançant una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segona convocatòria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.</w:t>
      </w:r>
      <w:r>
        <w:rPr/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A aquesta convocatòria també s</w:t>
      </w:r>
      <w:r>
        <w:rPr/>
        <w:t>’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hauria d</w:t>
      </w:r>
      <w:r>
        <w:rPr/>
        <w:t>e presentar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l’alumnat que, encara que hagi complert els requisits d'assistència, no hagi superat el nivell mínim exigit en la Unitat Formativa en l'avaluació contínua.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120" w:after="0"/>
        <w:ind w:left="0" w:right="0" w:hanging="0"/>
        <w:jc w:val="both"/>
        <w:rPr/>
      </w:pPr>
      <w:r>
        <w:rPr/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40" w:before="0" w:after="20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Els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treballs i activitats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d’aula s’han de presentar puntualment en la data acordada. No s’acceptarà cap exercici o treball fora de termini, exceptuant una causa justificada fins a 3 dies després del dia d’entrega, però només tindran dret com a màxim un aprovat. Si els treballs o les activitats es lliuren un dia tard es baixarà un punt de la nota final del treball o activitat  i si es lliura dos dies tard es baixaran tres punts. Les activitats i treballs presentats a partir de 3 dies després de la data acordada tindr</w:t>
      </w:r>
      <w:r>
        <w:rPr/>
        <w:t>an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un cero. Si l’alumnat no ha presentat les activitats i els treballs no podrà fer l’examen.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single"/>
          <w:shd w:fill="auto" w:val="clear"/>
          <w:vertAlign w:val="baseline"/>
        </w:rPr>
        <w:t>Les activitats i treballs presentats passats tres dies no tenen pes en la ponderació final però és obligatori lliurar-los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single"/>
          <w:shd w:fill="auto" w:val="clear"/>
          <w:vertAlign w:val="baseline"/>
        </w:rPr>
        <w:t>Absència en dia d’examen i treballs no entregats: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Si un/a alumne/a no es presenta el dia d’examen i/o el dia d’entrega d’un treball, no se’l permetrà fer-lo i/o entregar-lo en una altra data. Si hi ha una causa de força major (amb justificació documental) </w:t>
      </w:r>
      <w:r>
        <w:rPr/>
        <w:t>podrà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presentar-se a l’examen però només es permetrà una vegada. El mateix criteri se seguirà per la presentació dels treballs.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single"/>
          <w:shd w:fill="auto" w:val="clear"/>
          <w:vertAlign w:val="baseline"/>
        </w:rPr>
        <w:t>Recordem: Aquesta situació es permetrà només una vegada al llarg del mòdul.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0" w:after="20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La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qualificació final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de l'alumn</w:t>
      </w:r>
      <w:r>
        <w:rPr/>
        <w:t>at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vindrà determinada per les avaluacions contínua i final, en la qual queda integrada la valoració de l’assistència,  l’actitud de cada alumne/a i les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Competències professionals, personals i socials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vinculades a aquest mòdul professional.Si l’actitud de l’alumnat no és adequada: ús indegut i abusiu del mòbil, distorsió del desenvolupament normal de la classe (parlant, menjant…), falta d’autocontrol i agressivitat física o verbal envers companys i companyes i professorat es posaran negatius. 3 negatius baixen fins a 1 punt la nota de la UF.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120" w:after="0"/>
        <w:ind w:left="72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</w:rPr>
      </w:pPr>
      <w:r>
        <w:rPr>
          <w:b/>
        </w:rPr>
      </w:r>
    </w:p>
    <w:p>
      <w:pPr>
        <w:pStyle w:val="LOnormal"/>
        <w:pageBreakBefore w:val="false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pageBreakBefore w:val="false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pageBreakBefore w:val="false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pageBreakBefore w:val="false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normal"/>
        <w:pageBreakBefore w:val="false"/>
        <w:spacing w:before="0" w:after="120"/>
        <w:rPr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b/>
        <w:b/>
        <w:sz w:val="24"/>
        <w:szCs w:val="24"/>
      </w:rPr>
    </w:pPr>
    <w:r>
      <w:rPr>
        <w:b/>
        <w:sz w:val="24"/>
        <w:szCs w:val="24"/>
      </w:rPr>
    </w:r>
  </w:p>
  <w:tbl>
    <w:tblPr>
      <w:tblStyle w:val="Table1"/>
      <w:tblW w:w="10177" w:type="dxa"/>
      <w:jc w:val="left"/>
      <w:tblInd w:w="-71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842"/>
      <w:gridCol w:w="4199"/>
      <w:gridCol w:w="4136"/>
    </w:tblGrid>
    <w:tr>
      <w:trPr>
        <w:trHeight w:val="180" w:hRule="atLeast"/>
      </w:trPr>
      <w:tc>
        <w:tcPr>
          <w:tcW w:w="1842" w:type="dxa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714" w:right="0" w:hanging="357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0"/>
              <w:szCs w:val="20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800100" cy="666750"/>
                <wp:effectExtent l="0" t="0" r="0" b="0"/>
                <wp:docPr id="1" name="image1.jpg" descr="LOGO_INSTI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LOGO_INSTI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5" w:type="dxa"/>
          <w:gridSpan w:val="2"/>
          <w:tcBorders>
            <w:top w:val="single" w:sz="18" w:space="0" w:color="000000"/>
            <w:right w:val="single" w:sz="18" w:space="0" w:color="000000"/>
          </w:tcBorders>
          <w:vAlign w:val="bottom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714" w:right="0" w:hanging="357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714" w:right="0" w:hanging="357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DEPARTAMENT  : Serveis Socioculturals i a la Comunitat</w:t>
          </w:r>
        </w:p>
      </w:tc>
    </w:tr>
    <w:tr>
      <w:trPr>
        <w:trHeight w:val="180" w:hRule="atLeast"/>
      </w:trPr>
      <w:tc>
        <w:tcPr>
          <w:tcW w:w="1842" w:type="dxa"/>
          <w:vMerge w:val="continue"/>
          <w:tcBorders>
            <w:left w:val="single" w:sz="18" w:space="0" w:color="000000"/>
            <w:bottom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8335" w:type="dxa"/>
          <w:gridSpan w:val="2"/>
          <w:tcBorders>
            <w:right w:val="single" w:sz="18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714" w:right="0" w:hanging="357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CICLE  : CFGM Atenció a persones en situació de dependència</w:t>
          </w:r>
        </w:p>
      </w:tc>
    </w:tr>
    <w:tr>
      <w:trPr>
        <w:trHeight w:val="180" w:hRule="atLeast"/>
      </w:trPr>
      <w:tc>
        <w:tcPr>
          <w:tcW w:w="1842" w:type="dxa"/>
          <w:vMerge w:val="continue"/>
          <w:tcBorders>
            <w:left w:val="single" w:sz="18" w:space="0" w:color="000000"/>
            <w:bottom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4199" w:type="dxa"/>
          <w:tcBorders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714" w:right="0" w:hanging="357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NIVELL : 1er</w:t>
          </w:r>
        </w:p>
      </w:tc>
      <w:tc>
        <w:tcPr>
          <w:tcW w:w="4136" w:type="dxa"/>
          <w:tcBorders>
            <w:right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714" w:right="0" w:hanging="357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</w:tr>
    <w:tr>
      <w:trPr>
        <w:trHeight w:val="180" w:hRule="atLeast"/>
      </w:trPr>
      <w:tc>
        <w:tcPr>
          <w:tcW w:w="1842" w:type="dxa"/>
          <w:vMerge w:val="continue"/>
          <w:tcBorders>
            <w:left w:val="single" w:sz="18" w:space="0" w:color="000000"/>
            <w:bottom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8335" w:type="dxa"/>
          <w:gridSpan w:val="2"/>
          <w:tcBorders>
            <w:right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714" w:right="0" w:hanging="357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MÒDUL: MP 10 Primers Auxilis</w:t>
          </w:r>
        </w:p>
      </w:tc>
    </w:tr>
    <w:tr>
      <w:trPr>
        <w:trHeight w:val="35" w:hRule="atLeast"/>
      </w:trPr>
      <w:tc>
        <w:tcPr>
          <w:tcW w:w="1842" w:type="dxa"/>
          <w:vMerge w:val="continue"/>
          <w:tcBorders>
            <w:left w:val="single" w:sz="18" w:space="0" w:color="000000"/>
            <w:bottom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8335" w:type="dxa"/>
          <w:gridSpan w:val="2"/>
          <w:tcBorders>
            <w:bottom w:val="single" w:sz="18" w:space="0" w:color="000000"/>
            <w:right w:val="single" w:sz="18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714" w:right="0" w:hanging="357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CURS: 202</w:t>
          </w: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2</w:t>
          </w:r>
          <w:r>
            <w:rPr>
              <w:rFonts w:eastAsia="Arial" w:cs="Arial" w:ascii="Arial" w:hAnsi="Arial"/>
              <w:b/>
              <w:sz w:val="16"/>
              <w:szCs w:val="16"/>
            </w:rPr>
            <w:t>-202</w:t>
          </w:r>
          <w:r>
            <w:rPr>
              <w:rFonts w:eastAsia="Arial" w:cs="Arial" w:ascii="Arial" w:hAnsi="Arial"/>
              <w:b/>
              <w:sz w:val="16"/>
              <w:szCs w:val="16"/>
            </w:rPr>
            <w:t>3</w:t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714" w:right="0" w:hanging="357"/>
            <w:jc w:val="left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714" w:right="0" w:hanging="357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774a24"/>
    <w:pPr>
      <w:widowControl/>
      <w:suppressAutoHyphens w:val="true"/>
      <w:bidi w:val="0"/>
      <w:spacing w:lineRule="auto" w:line="240" w:before="0" w:after="120"/>
      <w:ind w:left="714" w:hanging="357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en-US" w:bidi="hi-IN"/>
    </w:rPr>
  </w:style>
  <w:style w:type="paragraph" w:styleId="Encapalament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Encapalament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Encapalament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Encapalament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Encapalament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Encapalament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Encabezado"/>
    <w:qFormat/>
    <w:rsid w:val="00c976c8"/>
    <w:rPr>
      <w:lang w:val="es-ES"/>
    </w:rPr>
  </w:style>
  <w:style w:type="character" w:styleId="PiedepginaCar" w:customStyle="1">
    <w:name w:val="Pie de página Car"/>
    <w:link w:val="Piedepgina"/>
    <w:uiPriority w:val="99"/>
    <w:qFormat/>
    <w:rsid w:val="00c976c8"/>
    <w:rPr>
      <w:lang w:val="es-ES"/>
    </w:rPr>
  </w:style>
  <w:style w:type="character" w:styleId="TextodegloboCar" w:customStyle="1">
    <w:name w:val="Texto de globo Car"/>
    <w:link w:val="Textodeglobo"/>
    <w:uiPriority w:val="99"/>
    <w:semiHidden/>
    <w:qFormat/>
    <w:rsid w:val="00c976c8"/>
    <w:rPr>
      <w:rFonts w:ascii="Tahoma" w:hAnsi="Tahoma" w:cs="Tahoma"/>
      <w:sz w:val="16"/>
      <w:szCs w:val="16"/>
      <w:lang w:val="es-ES"/>
    </w:rPr>
  </w:style>
  <w:style w:type="character" w:styleId="A1" w:customStyle="1">
    <w:name w:val="A1"/>
    <w:uiPriority w:val="99"/>
    <w:qFormat/>
    <w:rsid w:val="00b46393"/>
    <w:rPr>
      <w:rFonts w:cs="Amplitude Bold"/>
      <w:b/>
      <w:bCs/>
      <w:color w:val="221E1F"/>
      <w:sz w:val="86"/>
      <w:szCs w:val="86"/>
    </w:rPr>
  </w:style>
  <w:style w:type="character" w:styleId="SangradetextonormalCar" w:customStyle="1">
    <w:name w:val="Sangría de texto normal Car"/>
    <w:link w:val="Sangradetextonormal"/>
    <w:uiPriority w:val="99"/>
    <w:qFormat/>
    <w:rsid w:val="003b28d4"/>
    <w:rPr>
      <w:rFonts w:ascii="Arial" w:hAnsi="Arial" w:eastAsia="Times New Roman" w:cs="Arial"/>
      <w:color w:val="000000"/>
      <w:sz w:val="24"/>
      <w:szCs w:val="24"/>
      <w:lang w:val="es-ES_tradnl" w:eastAsia="es-ES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40" w:before="0" w:after="120"/>
      <w:ind w:left="714" w:hanging="357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paragraph" w:styleId="Tto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LOnormal"/>
    <w:link w:val="EncabezadoCar"/>
    <w:unhideWhenUsed/>
    <w:rsid w:val="00c976c8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Peudepgina">
    <w:name w:val="Footer"/>
    <w:basedOn w:val="LOnormal"/>
    <w:link w:val="PiedepginaCar"/>
    <w:uiPriority w:val="99"/>
    <w:unhideWhenUsed/>
    <w:rsid w:val="00c976c8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c976c8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LOnormal"/>
    <w:uiPriority w:val="34"/>
    <w:qFormat/>
    <w:rsid w:val="00e16340"/>
    <w:pPr>
      <w:spacing w:lineRule="auto" w:line="276" w:before="0" w:after="200"/>
      <w:ind w:left="720" w:hanging="0"/>
      <w:contextualSpacing/>
    </w:pPr>
    <w:rPr/>
  </w:style>
  <w:style w:type="paragraph" w:styleId="Sagnatdelcosdeltext">
    <w:name w:val="Body Text Indent"/>
    <w:basedOn w:val="LOnormal"/>
    <w:link w:val="SangradetextonormalCar"/>
    <w:uiPriority w:val="99"/>
    <w:rsid w:val="003b28d4"/>
    <w:pPr>
      <w:tabs>
        <w:tab w:val="left" w:pos="720" w:leader="none"/>
      </w:tabs>
      <w:spacing w:before="0" w:after="0"/>
      <w:ind w:left="708" w:hanging="0"/>
    </w:pPr>
    <w:rPr>
      <w:rFonts w:ascii="Arial" w:hAnsi="Arial" w:eastAsia="Times New Roman" w:cs="Arial"/>
      <w:color w:val="000000"/>
      <w:sz w:val="24"/>
      <w:szCs w:val="24"/>
      <w:lang w:val="es-ES_tradnl" w:eastAsia="es-ES"/>
    </w:rPr>
  </w:style>
  <w:style w:type="paragraph" w:styleId="NoSpacing">
    <w:name w:val="No Spacing"/>
    <w:uiPriority w:val="1"/>
    <w:qFormat/>
    <w:rsid w:val="00bc3557"/>
    <w:pPr>
      <w:widowControl/>
      <w:suppressAutoHyphens w:val="true"/>
      <w:bidi w:val="0"/>
      <w:spacing w:lineRule="auto" w:line="240" w:before="0" w:after="120"/>
      <w:ind w:left="714" w:hanging="357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en-US" w:bidi="hi-IN"/>
    </w:rPr>
  </w:style>
  <w:style w:type="paragraph" w:styleId="NormalWeb">
    <w:name w:val="Normal (Web)"/>
    <w:basedOn w:val="LOnormal"/>
    <w:uiPriority w:val="99"/>
    <w:semiHidden/>
    <w:unhideWhenUsed/>
    <w:qFormat/>
    <w:rsid w:val="00384e4f"/>
    <w:pPr>
      <w:spacing w:beforeAutospacing="1" w:afterAutospacing="1"/>
      <w:ind w:left="0" w:hanging="0"/>
    </w:pPr>
    <w:rPr>
      <w:rFonts w:ascii="Times New Roman" w:hAnsi="Times New Roman" w:eastAsia="Times New Roman"/>
      <w:sz w:val="24"/>
      <w:szCs w:val="24"/>
      <w:lang w:eastAsia="ca-ES"/>
    </w:rPr>
  </w:style>
  <w:style w:type="paragraph" w:styleId="Subttol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b6f42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d0YHdteursTu36bkDkQTW8X5oeQ==">AMUW2mVnnHA6Ksp8jCwJDPYrzmvwElTmUONuEY4bcmuddov601u+b0r6kbD9ycvQ6MORqYusdoXhZeZPWh/6W1U/7X+kfUan3e6o0lk9UnP2HgKUwDMzFYs=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LibreOffice/7.0.6.2$Windows_X86_64 LibreOffice_project/144abb84a525d8e30c9dbbefa69cbbf2d8d4ae3b</Application>
  <AppVersion>15.0000</AppVersion>
  <Pages>3</Pages>
  <Words>754</Words>
  <Characters>3867</Characters>
  <CharactersWithSpaces>4603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2020-09-13T19:42:00Z</dcterms:created>
  <dc:creator>profe</dc:creator>
  <dc:description/>
  <dc:language>ca-ES</dc:language>
  <cp:lastModifiedBy/>
  <dcterms:modified xsi:type="dcterms:W3CDTF">2022-09-03T21:04:02Z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