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rFonts w:ascii="Calibri" w:hAnsi="Calibri" w:cs="Calibri" w:asciiTheme="minorHAnsi" w:hAnsiTheme="minorHAnsi"/>
          <w:b/>
          <w:b/>
        </w:rPr>
      </w:pPr>
      <w:r>
        <w:rPr>
          <w:rFonts w:cs="Calibri"/>
          <w:b/>
        </w:rPr>
        <w:t>CRITERIS D’AVALUACIÓ  Mòdul Professional 09: Primers Auxilis</w:t>
      </w:r>
    </w:p>
    <w:p>
      <w:pPr>
        <w:pStyle w:val="Normal"/>
        <w:rPr>
          <w:rFonts w:ascii="Calibri" w:hAnsi="Calibri" w:cs="Calibri" w:asciiTheme="minorHAnsi" w:hAnsiTheme="minorHAnsi"/>
          <w:b/>
          <w:b/>
        </w:rPr>
      </w:pPr>
      <w:r>
        <w:rPr>
          <w:rFonts w:cs="Calibri"/>
          <w:b/>
        </w:rPr>
      </w:r>
    </w:p>
    <w:p>
      <w:pPr>
        <w:pStyle w:val="ListParagraph"/>
        <w:numPr>
          <w:ilvl w:val="0"/>
          <w:numId w:val="1"/>
        </w:numPr>
        <w:spacing w:lineRule="auto" w:line="240"/>
        <w:jc w:val="both"/>
        <w:rPr>
          <w:rFonts w:ascii="Calibri" w:hAnsi="Calibri" w:cs="Calibri" w:asciiTheme="minorHAnsi" w:hAnsiTheme="minorHAnsi"/>
          <w:b/>
          <w:b/>
        </w:rPr>
      </w:pPr>
      <w:r>
        <w:rPr>
          <w:rFonts w:cs="Calibri"/>
        </w:rPr>
        <w:t xml:space="preserve">L’avaluació de l’alumnat és un </w:t>
      </w:r>
      <w:r>
        <w:rPr>
          <w:rFonts w:cs="Calibri"/>
          <w:b/>
        </w:rPr>
        <w:t>procés continu i individual</w:t>
      </w:r>
      <w:r>
        <w:rPr>
          <w:rFonts w:cs="Calibri"/>
        </w:rPr>
        <w:t xml:space="preserve"> que té per finalitat determinar el grau d’assoliment dels continguts proposats.</w:t>
      </w:r>
    </w:p>
    <w:p>
      <w:pPr>
        <w:pStyle w:val="ListParagraph"/>
        <w:spacing w:lineRule="auto" w:line="240"/>
        <w:jc w:val="both"/>
        <w:rPr>
          <w:rFonts w:ascii="Calibri" w:hAnsi="Calibri" w:cs="Calibri" w:asciiTheme="minorHAnsi" w:hAnsiTheme="minorHAnsi"/>
          <w:b/>
          <w:b/>
        </w:rPr>
      </w:pPr>
      <w:r>
        <w:rPr>
          <w:rFonts w:cs="Calibri"/>
          <w:b/>
        </w:rPr>
      </w:r>
    </w:p>
    <w:p>
      <w:pPr>
        <w:pStyle w:val="ListParagraph"/>
        <w:numPr>
          <w:ilvl w:val="0"/>
          <w:numId w:val="1"/>
        </w:numPr>
        <w:spacing w:lineRule="auto" w:line="240"/>
        <w:jc w:val="both"/>
        <w:rPr>
          <w:rFonts w:ascii="Calibri" w:hAnsi="Calibri" w:cs="Calibri" w:asciiTheme="minorHAnsi" w:hAnsiTheme="minorHAnsi"/>
          <w:b/>
          <w:b/>
        </w:rPr>
      </w:pPr>
      <w:r>
        <w:rPr>
          <w:rFonts w:cs="Calibri"/>
        </w:rPr>
        <w:t xml:space="preserve">Es duran a terme al llarg del mòdul, </w:t>
      </w:r>
      <w:r>
        <w:rPr>
          <w:rFonts w:cs="Calibri"/>
          <w:b/>
        </w:rPr>
        <w:t>activitats avaluables</w:t>
      </w:r>
      <w:r>
        <w:rPr>
          <w:rFonts w:cs="Calibri"/>
        </w:rPr>
        <w:t xml:space="preserve"> que facilitaran l’assimilació progressiva dels continguts.</w:t>
      </w:r>
    </w:p>
    <w:p>
      <w:pPr>
        <w:pStyle w:val="ListParagraph"/>
        <w:spacing w:lineRule="auto" w:line="240"/>
        <w:ind w:left="0" w:hanging="0"/>
        <w:jc w:val="both"/>
        <w:rPr>
          <w:rFonts w:ascii="Calibri" w:hAnsi="Calibri" w:cs="Calibri" w:asciiTheme="minorHAnsi" w:hAnsiTheme="minorHAnsi"/>
          <w:b/>
          <w:b/>
        </w:rPr>
      </w:pPr>
      <w:r>
        <w:rPr>
          <w:rFonts w:cs="Calibri"/>
          <w:b/>
        </w:rPr>
      </w:r>
    </w:p>
    <w:p>
      <w:pPr>
        <w:pStyle w:val="ListParagraph"/>
        <w:numPr>
          <w:ilvl w:val="0"/>
          <w:numId w:val="1"/>
        </w:numPr>
        <w:spacing w:lineRule="auto" w:line="240"/>
        <w:jc w:val="both"/>
        <w:rPr>
          <w:rFonts w:ascii="Calibri" w:hAnsi="Calibri" w:cs="Calibri" w:asciiTheme="minorHAnsi" w:hAnsiTheme="minorHAnsi"/>
          <w:b/>
          <w:b/>
        </w:rPr>
      </w:pPr>
      <w:r>
        <w:rPr>
          <w:rFonts w:cs="Calibri"/>
        </w:rPr>
        <w:t xml:space="preserve">Aquesta </w:t>
      </w:r>
      <w:r>
        <w:rPr>
          <w:rFonts w:cs="Calibri"/>
          <w:b/>
        </w:rPr>
        <w:t>avaluació continua</w:t>
      </w:r>
      <w:r>
        <w:rPr>
          <w:rFonts w:cs="Calibri"/>
        </w:rPr>
        <w:t xml:space="preserve"> serà la que determinarà l’avaluació final dels resultats aconseguits per l’alumnat quan acabi el procés d’aprenentatge.</w:t>
      </w:r>
    </w:p>
    <w:p>
      <w:pPr>
        <w:pStyle w:val="Normal"/>
        <w:numPr>
          <w:ilvl w:val="0"/>
          <w:numId w:val="1"/>
        </w:numPr>
        <w:spacing w:before="240" w:after="120"/>
        <w:jc w:val="both"/>
        <w:rPr>
          <w:rFonts w:ascii="Calibri" w:hAnsi="Calibri" w:cs="Calibri" w:asciiTheme="minorHAnsi" w:hAnsiTheme="minorHAnsi"/>
        </w:rPr>
      </w:pPr>
      <w:r>
        <w:rPr>
          <w:rFonts w:cs="Calibri"/>
        </w:rPr>
        <w:t xml:space="preserve">Es consideraran </w:t>
      </w:r>
      <w:r>
        <w:rPr>
          <w:rFonts w:cs="Calibri"/>
          <w:b/>
        </w:rPr>
        <w:t>aspectes avaluables</w:t>
      </w:r>
      <w:r>
        <w:rPr>
          <w:rFonts w:cs="Calibri"/>
        </w:rPr>
        <w:t xml:space="preserve">: </w:t>
      </w:r>
    </w:p>
    <w:p>
      <w:pPr>
        <w:pStyle w:val="NoSpacing"/>
        <w:ind w:left="1065" w:hanging="357"/>
        <w:rPr>
          <w:rFonts w:ascii="Calibri" w:hAnsi="Calibri" w:asciiTheme="minorHAnsi" w:hAnsiTheme="minorHAnsi"/>
        </w:rPr>
      </w:pPr>
      <w:r>
        <w:rPr>
          <w:rFonts w:asciiTheme="minorHAnsi" w:hAnsiTheme="minorHAnsi"/>
        </w:rPr>
        <w:t xml:space="preserve">• </w:t>
      </w:r>
      <w:r>
        <w:rPr>
          <w:rFonts w:asciiTheme="minorHAnsi" w:hAnsiTheme="minorHAnsi"/>
        </w:rPr>
        <w:t>Les proves escrites o orals.</w:t>
      </w:r>
    </w:p>
    <w:p>
      <w:pPr>
        <w:pStyle w:val="NoSpacing"/>
        <w:ind w:left="1065" w:hanging="357"/>
        <w:rPr>
          <w:rFonts w:ascii="Calibri" w:hAnsi="Calibri" w:asciiTheme="minorHAnsi" w:hAnsiTheme="minorHAnsi"/>
        </w:rPr>
      </w:pPr>
      <w:r>
        <w:rPr>
          <w:rFonts w:asciiTheme="minorHAnsi" w:hAnsiTheme="minorHAnsi"/>
        </w:rPr>
        <w:t xml:space="preserve">• </w:t>
      </w:r>
      <w:r>
        <w:rPr>
          <w:rFonts w:asciiTheme="minorHAnsi" w:hAnsiTheme="minorHAnsi"/>
        </w:rPr>
        <w:t>Les activitats i treballs individuals.</w:t>
      </w:r>
    </w:p>
    <w:p>
      <w:pPr>
        <w:pStyle w:val="NoSpacing"/>
        <w:ind w:left="1065" w:hanging="357"/>
        <w:rPr>
          <w:rFonts w:ascii="Calibri" w:hAnsi="Calibri" w:asciiTheme="minorHAnsi" w:hAnsiTheme="minorHAnsi"/>
        </w:rPr>
      </w:pPr>
      <w:r>
        <w:rPr>
          <w:rFonts w:asciiTheme="minorHAnsi" w:hAnsiTheme="minorHAnsi"/>
        </w:rPr>
        <w:t xml:space="preserve">• </w:t>
      </w:r>
      <w:r>
        <w:rPr>
          <w:rFonts w:asciiTheme="minorHAnsi" w:hAnsiTheme="minorHAnsi"/>
        </w:rPr>
        <w:t>Les activitats i treballs en grup.</w:t>
      </w:r>
    </w:p>
    <w:p>
      <w:pPr>
        <w:pStyle w:val="NoSpacing"/>
        <w:ind w:left="1065" w:hanging="357"/>
        <w:rPr>
          <w:rFonts w:ascii="Calibri" w:hAnsi="Calibri" w:asciiTheme="minorHAnsi" w:hAnsiTheme="minorHAnsi"/>
        </w:rPr>
      </w:pPr>
      <w:r>
        <w:rPr>
          <w:rFonts w:asciiTheme="minorHAnsi" w:hAnsiTheme="minorHAnsi"/>
        </w:rPr>
        <w:t xml:space="preserve">• </w:t>
      </w:r>
      <w:r>
        <w:rPr>
          <w:rFonts w:asciiTheme="minorHAnsi" w:hAnsiTheme="minorHAnsi"/>
        </w:rPr>
        <w:t>El treball diari, la participació i l’actitud a classe.</w:t>
      </w:r>
    </w:p>
    <w:p>
      <w:pPr>
        <w:pStyle w:val="Normal"/>
        <w:numPr>
          <w:ilvl w:val="0"/>
          <w:numId w:val="1"/>
        </w:numPr>
        <w:spacing w:before="240" w:after="120"/>
        <w:jc w:val="both"/>
        <w:rPr>
          <w:rFonts w:ascii="Calibri" w:hAnsi="Calibri" w:cs="Calibri" w:asciiTheme="minorHAnsi" w:hAnsiTheme="minorHAnsi"/>
        </w:rPr>
      </w:pPr>
      <w:r>
        <w:rPr>
          <w:rFonts w:cs="Calibri"/>
        </w:rPr>
        <w:t>Per a superar el Mòdul professional cal superar independentment les diferents Unitats Formatives.</w:t>
      </w:r>
    </w:p>
    <w:p>
      <w:pPr>
        <w:pStyle w:val="Normal"/>
        <w:spacing w:before="240" w:after="120"/>
        <w:jc w:val="both"/>
        <w:rPr>
          <w:rFonts w:ascii="Calibri" w:hAnsi="Calibri" w:cs="Calibri" w:asciiTheme="minorHAnsi" w:hAnsiTheme="minorHAnsi"/>
        </w:rPr>
      </w:pPr>
      <w:r>
        <w:rPr>
          <w:rFonts w:cs="Calibri"/>
        </w:rPr>
        <w:t>Criteris d’avaluació:</w:t>
      </w:r>
    </w:p>
    <w:p>
      <w:pPr>
        <w:pStyle w:val="Normal"/>
        <w:spacing w:before="240" w:after="120"/>
        <w:jc w:val="both"/>
        <w:rPr>
          <w:rFonts w:ascii="Calibri" w:hAnsi="Calibri" w:cs="Calibri" w:asciiTheme="minorHAnsi" w:hAnsiTheme="minorHAnsi"/>
        </w:rPr>
      </w:pPr>
      <w:r>
        <w:rPr>
          <w:rFonts w:cs="Calibri"/>
        </w:rPr>
        <w:t>UF1: 70% (exàmens) + 30% ( Activitats de classe i sessions pràctiques)</w:t>
      </w:r>
    </w:p>
    <w:p>
      <w:pPr>
        <w:pStyle w:val="Normal"/>
        <w:spacing w:before="240" w:after="120"/>
        <w:jc w:val="both"/>
        <w:rPr>
          <w:rFonts w:ascii="Calibri" w:hAnsi="Calibri" w:cs="Calibri" w:asciiTheme="minorHAnsi" w:hAnsiTheme="minorHAnsi"/>
        </w:rPr>
      </w:pPr>
      <w:r>
        <w:rPr>
          <w:rFonts w:cs="Calibri"/>
        </w:rPr>
        <w:t>UF2: 50% (exàmens) + 50% ( Activitats de classe i sessions pràctiques)</w:t>
      </w:r>
    </w:p>
    <w:p>
      <w:pPr>
        <w:pStyle w:val="Normal"/>
        <w:spacing w:before="240" w:after="120"/>
        <w:jc w:val="both"/>
        <w:rPr>
          <w:rFonts w:ascii="Calibri" w:hAnsi="Calibri" w:cs="Calibri" w:asciiTheme="minorHAnsi" w:hAnsiTheme="minorHAnsi"/>
        </w:rPr>
      </w:pPr>
      <w:r>
        <w:rPr>
          <w:rFonts w:cs="Calibri"/>
        </w:rPr>
        <w:t>UF3:50% (examen) + 50% ( Treball grupal)</w:t>
      </w:r>
    </w:p>
    <w:p>
      <w:pPr>
        <w:pStyle w:val="Normal"/>
        <w:numPr>
          <w:ilvl w:val="0"/>
          <w:numId w:val="1"/>
        </w:numPr>
        <w:spacing w:before="240" w:after="120"/>
        <w:jc w:val="both"/>
        <w:rPr>
          <w:rFonts w:ascii="Calibri" w:hAnsi="Calibri" w:cs="Calibri" w:asciiTheme="minorHAnsi" w:hAnsiTheme="minorHAnsi"/>
        </w:rPr>
      </w:pPr>
      <w:r>
        <w:rPr>
          <w:rFonts w:cs="Calibri"/>
        </w:rPr>
        <w:t xml:space="preserve">A l’inici de cada UF la professora establirà els instruments per a la seva avaluació i la ponderació de cadascun per a obtenir la </w:t>
      </w:r>
      <w:r>
        <w:rPr>
          <w:rFonts w:cs="Calibri"/>
          <w:b/>
        </w:rPr>
        <w:t>nota final de la UF</w:t>
      </w:r>
      <w:r>
        <w:rPr>
          <w:rFonts w:cs="Calibri"/>
        </w:rPr>
        <w:t xml:space="preserve">. Aquests </w:t>
      </w:r>
      <w:r>
        <w:rPr>
          <w:rFonts w:cs="Calibri"/>
          <w:b/>
        </w:rPr>
        <w:t>instruments d’avaluació</w:t>
      </w:r>
      <w:r>
        <w:rPr>
          <w:rFonts w:cs="Calibri"/>
        </w:rPr>
        <w:t xml:space="preserve"> i la seva ponderació, variarà en cada UF, però en general, seran:</w:t>
      </w:r>
    </w:p>
    <w:p>
      <w:pPr>
        <w:pStyle w:val="NoSpacing"/>
        <w:numPr>
          <w:ilvl w:val="1"/>
          <w:numId w:val="1"/>
        </w:numPr>
        <w:rPr>
          <w:rFonts w:ascii="Calibri" w:hAnsi="Calibri" w:asciiTheme="minorHAnsi" w:hAnsiTheme="minorHAnsi"/>
        </w:rPr>
      </w:pPr>
      <w:r>
        <w:rPr>
          <w:rFonts w:asciiTheme="minorHAnsi" w:hAnsiTheme="minorHAnsi"/>
        </w:rPr>
        <w:t>Prova escrita de tots els continguts, al finalitzar cada UF ( fa mitjana a partir d’un 4).</w:t>
      </w:r>
    </w:p>
    <w:p>
      <w:pPr>
        <w:pStyle w:val="NoSpacing"/>
        <w:numPr>
          <w:ilvl w:val="1"/>
          <w:numId w:val="1"/>
        </w:numPr>
        <w:jc w:val="both"/>
        <w:rPr>
          <w:rFonts w:ascii="Calibri" w:hAnsi="Calibri" w:asciiTheme="minorHAnsi" w:hAnsiTheme="minorHAnsi"/>
        </w:rPr>
      </w:pPr>
      <w:r>
        <w:rPr>
          <w:rFonts w:asciiTheme="minorHAnsi" w:hAnsiTheme="minorHAnsi"/>
        </w:rPr>
        <w:t>Activitats pràctiques  d’execució de les tècniques o procediments estudiats a la UF.</w:t>
      </w:r>
    </w:p>
    <w:p>
      <w:pPr>
        <w:pStyle w:val="NoSpacing"/>
        <w:numPr>
          <w:ilvl w:val="1"/>
          <w:numId w:val="1"/>
        </w:numPr>
        <w:jc w:val="both"/>
        <w:rPr>
          <w:rFonts w:ascii="Calibri" w:hAnsi="Calibri" w:asciiTheme="minorHAnsi" w:hAnsiTheme="minorHAnsi"/>
        </w:rPr>
      </w:pPr>
      <w:r>
        <w:rPr>
          <w:rFonts w:asciiTheme="minorHAnsi" w:hAnsiTheme="minorHAnsi"/>
        </w:rPr>
        <w:t>Exposició oral de treballs en grup.</w:t>
      </w:r>
    </w:p>
    <w:p>
      <w:pPr>
        <w:pStyle w:val="NoSpacing"/>
        <w:numPr>
          <w:ilvl w:val="1"/>
          <w:numId w:val="1"/>
        </w:numPr>
        <w:jc w:val="both"/>
        <w:rPr>
          <w:rFonts w:ascii="Calibri" w:hAnsi="Calibri" w:asciiTheme="minorHAnsi" w:hAnsiTheme="minorHAnsi"/>
        </w:rPr>
      </w:pPr>
      <w:r>
        <w:rPr>
          <w:rFonts w:asciiTheme="minorHAnsi" w:hAnsiTheme="minorHAnsi"/>
        </w:rPr>
        <w:t>Activitats escrites.</w:t>
      </w:r>
    </w:p>
    <w:p>
      <w:pPr>
        <w:pStyle w:val="NoSpacing"/>
        <w:numPr>
          <w:ilvl w:val="1"/>
          <w:numId w:val="1"/>
        </w:numPr>
        <w:jc w:val="both"/>
        <w:rPr>
          <w:rFonts w:ascii="Calibri" w:hAnsi="Calibri" w:asciiTheme="minorHAnsi" w:hAnsiTheme="minorHAnsi"/>
        </w:rPr>
      </w:pPr>
      <w:r>
        <w:rPr>
          <w:rFonts w:asciiTheme="minorHAnsi" w:hAnsiTheme="minorHAnsi"/>
        </w:rPr>
        <w:t>La participació i implicació a classe.</w:t>
      </w:r>
    </w:p>
    <w:p>
      <w:pPr>
        <w:pStyle w:val="NoSpacing"/>
        <w:ind w:left="720" w:hanging="0"/>
        <w:jc w:val="both"/>
        <w:rPr>
          <w:rFonts w:ascii="Calibri" w:hAnsi="Calibri" w:asciiTheme="minorHAnsi" w:hAnsiTheme="minorHAnsi"/>
        </w:rPr>
      </w:pPr>
      <w:r>
        <w:rPr>
          <w:rFonts w:asciiTheme="minorHAnsi" w:hAnsiTheme="minorHAnsi"/>
        </w:rPr>
      </w:r>
    </w:p>
    <w:p>
      <w:pPr>
        <w:pStyle w:val="NoSpacing"/>
        <w:ind w:left="720" w:hanging="0"/>
        <w:jc w:val="both"/>
        <w:rPr>
          <w:rFonts w:ascii="Calibri" w:hAnsi="Calibri" w:asciiTheme="minorHAnsi" w:hAnsiTheme="minorHAnsi"/>
        </w:rPr>
      </w:pPr>
      <w:r>
        <w:rPr>
          <w:rFonts w:asciiTheme="minorHAnsi" w:hAnsiTheme="minorHAnsi"/>
        </w:rPr>
        <w:t xml:space="preserve">Al final de la UF 1 i la UF2, el dia de la realització de la prova escrita, caldrà lliurar les fitxes d’activitats escrites realitzades a classe. </w:t>
      </w:r>
    </w:p>
    <w:p>
      <w:pPr>
        <w:pStyle w:val="Normal"/>
        <w:numPr>
          <w:ilvl w:val="0"/>
          <w:numId w:val="1"/>
        </w:numPr>
        <w:spacing w:before="120" w:after="120"/>
        <w:jc w:val="both"/>
        <w:rPr>
          <w:rFonts w:ascii="Calibri" w:hAnsi="Calibri" w:cs="Calibri" w:asciiTheme="minorHAnsi" w:hAnsiTheme="minorHAnsi"/>
        </w:rPr>
      </w:pPr>
      <w:r>
        <w:rPr>
          <w:rFonts w:cs="Calibri"/>
        </w:rPr>
        <w:t xml:space="preserve">D’acord a la ponderació de cada Unitat Formativa, la </w:t>
      </w:r>
      <w:r>
        <w:rPr>
          <w:rFonts w:cs="Calibri"/>
          <w:b/>
        </w:rPr>
        <w:t>qualificació del Mòdul Professional (</w:t>
      </w:r>
      <w:r>
        <w:rPr>
          <w:rFonts w:cs="Calibri"/>
          <w:b/>
          <w:i/>
        </w:rPr>
        <w:t>Q</w:t>
      </w:r>
      <w:r>
        <w:rPr>
          <w:rFonts w:cs="Calibri"/>
          <w:b/>
          <w:i/>
          <w:vertAlign w:val="subscript"/>
        </w:rPr>
        <w:t>MP</w:t>
      </w:r>
      <w:r>
        <w:rPr>
          <w:rFonts w:cs="Calibri"/>
          <w:b/>
        </w:rPr>
        <w:t>)</w:t>
      </w:r>
      <w:r>
        <w:rPr>
          <w:rFonts w:cs="Calibri"/>
        </w:rPr>
        <w:t xml:space="preserve"> s’obté a partir de la fórmula següent:</w:t>
      </w:r>
    </w:p>
    <w:p>
      <w:pPr>
        <w:pStyle w:val="Normal"/>
        <w:spacing w:before="360" w:after="360"/>
        <w:ind w:left="360" w:right="-227" w:hanging="0"/>
        <w:jc w:val="center"/>
        <w:rPr>
          <w:rFonts w:ascii="Calibri" w:hAnsi="Calibri" w:cs="Calibri" w:asciiTheme="minorHAnsi" w:hAnsiTheme="minorHAnsi"/>
          <w:b/>
          <w:b/>
        </w:rPr>
      </w:pPr>
      <w:r>
        <w:rPr>
          <w:rFonts w:cs="Calibri"/>
          <w:b/>
        </w:rPr>
        <w:t>Q</w:t>
      </w:r>
      <w:r>
        <w:rPr>
          <w:rFonts w:cs="Calibri"/>
          <w:b/>
          <w:vertAlign w:val="subscript"/>
        </w:rPr>
        <w:t>MP</w:t>
      </w:r>
      <w:r>
        <w:rPr>
          <w:rFonts w:cs="Calibri"/>
          <w:b/>
        </w:rPr>
        <w:t xml:space="preserve"> = (0,33 x Q</w:t>
      </w:r>
      <w:r>
        <w:rPr>
          <w:rFonts w:cs="Calibri"/>
          <w:b/>
          <w:vertAlign w:val="subscript"/>
        </w:rPr>
        <w:t>UF1</w:t>
      </w:r>
      <w:r>
        <w:rPr>
          <w:rFonts w:cs="Calibri"/>
          <w:b/>
        </w:rPr>
        <w:t>) + (0,33 x Q</w:t>
      </w:r>
      <w:r>
        <w:rPr>
          <w:rFonts w:cs="Calibri"/>
          <w:b/>
          <w:vertAlign w:val="subscript"/>
        </w:rPr>
        <w:t>UF2</w:t>
      </w:r>
      <w:r>
        <w:rPr>
          <w:rFonts w:cs="Calibri"/>
          <w:b/>
        </w:rPr>
        <w:t>) + (0,33 x Q</w:t>
      </w:r>
      <w:r>
        <w:rPr>
          <w:rFonts w:cs="Calibri"/>
          <w:b/>
          <w:vertAlign w:val="subscript"/>
        </w:rPr>
        <w:t>UF3</w:t>
      </w:r>
      <w:r>
        <w:rPr>
          <w:rFonts w:cs="Calibri"/>
          <w:b/>
        </w:rPr>
        <w:t>)</w:t>
      </w:r>
    </w:p>
    <w:p>
      <w:pPr>
        <w:pStyle w:val="Normal"/>
        <w:numPr>
          <w:ilvl w:val="0"/>
          <w:numId w:val="1"/>
        </w:numPr>
        <w:spacing w:before="120" w:after="120"/>
        <w:jc w:val="both"/>
        <w:rPr>
          <w:rFonts w:ascii="Calibri" w:hAnsi="Calibri" w:cs="Calibri" w:asciiTheme="minorHAnsi" w:hAnsiTheme="minorHAnsi"/>
        </w:rPr>
      </w:pPr>
      <w:r>
        <w:rPr>
          <w:rFonts w:cs="Calibri"/>
        </w:rPr>
        <w:t xml:space="preserve">Les Unitats Formatives tenen una finalitat terminal, això vol dir que per cadascuna s’obtindrà una qualificació final i si aquesta se supera (s’obté una nota superior a 5) s’atorga la seva </w:t>
      </w:r>
      <w:r>
        <w:rPr>
          <w:rFonts w:cs="Calibri"/>
          <w:b/>
        </w:rPr>
        <w:t>acreditació</w:t>
      </w:r>
      <w:r>
        <w:rPr>
          <w:rFonts w:cs="Calibri"/>
        </w:rPr>
        <w:t>, encara que no s’hagi superat el mòdul formatiu.</w:t>
      </w:r>
    </w:p>
    <w:p>
      <w:pPr>
        <w:pStyle w:val="Normal"/>
        <w:numPr>
          <w:ilvl w:val="0"/>
          <w:numId w:val="1"/>
        </w:numPr>
        <w:spacing w:before="120" w:after="120"/>
        <w:jc w:val="both"/>
        <w:rPr>
          <w:rFonts w:ascii="Calibri" w:hAnsi="Calibri" w:cs="Calibri" w:asciiTheme="minorHAnsi" w:hAnsiTheme="minorHAnsi"/>
        </w:rPr>
      </w:pPr>
      <w:r>
        <w:rPr>
          <w:rFonts w:cs="Calibri"/>
        </w:rPr>
        <w:t>La professora establirà el calendari i les estratègies de recuperació de la o les UF que restin suspeses.</w:t>
      </w:r>
    </w:p>
    <w:p>
      <w:pPr>
        <w:pStyle w:val="Sagnatdelcosdeltext"/>
        <w:numPr>
          <w:ilvl w:val="0"/>
          <w:numId w:val="1"/>
        </w:numPr>
        <w:spacing w:before="120" w:after="0"/>
        <w:jc w:val="both"/>
        <w:rPr>
          <w:rFonts w:ascii="Calibri" w:hAnsi="Calibri" w:cs="Calibri" w:asciiTheme="minorHAnsi" w:hAnsiTheme="minorHAnsi"/>
          <w:color w:val="auto"/>
          <w:sz w:val="22"/>
          <w:szCs w:val="22"/>
          <w:lang w:val="ca-ES"/>
        </w:rPr>
      </w:pPr>
      <w:r>
        <w:rPr>
          <w:rFonts w:cs="Calibri" w:ascii="Calibri" w:hAnsi="Calibri" w:asciiTheme="minorHAnsi" w:hAnsiTheme="minorHAnsi"/>
          <w:color w:val="auto"/>
          <w:sz w:val="22"/>
          <w:szCs w:val="22"/>
          <w:lang w:val="ca-ES"/>
        </w:rPr>
        <w:t xml:space="preserve">L'avaluació contínua requereix </w:t>
      </w:r>
      <w:r>
        <w:rPr>
          <w:rFonts w:cs="Calibri" w:ascii="Calibri" w:hAnsi="Calibri" w:asciiTheme="minorHAnsi" w:hAnsiTheme="minorHAnsi"/>
          <w:b/>
          <w:color w:val="auto"/>
          <w:sz w:val="22"/>
          <w:szCs w:val="22"/>
          <w:lang w:val="ca-ES"/>
        </w:rPr>
        <w:t>l'assistència regular</w:t>
      </w:r>
      <w:r>
        <w:rPr>
          <w:rFonts w:cs="Calibri" w:ascii="Calibri" w:hAnsi="Calibri" w:asciiTheme="minorHAnsi" w:hAnsiTheme="minorHAnsi"/>
          <w:color w:val="auto"/>
          <w:sz w:val="22"/>
          <w:szCs w:val="22"/>
          <w:lang w:val="ca-ES"/>
        </w:rPr>
        <w:t xml:space="preserve"> dels alumnes i les alumnes a les classes i les activitats programades de cada Unitat Formativa.</w:t>
      </w:r>
    </w:p>
    <w:p>
      <w:pPr>
        <w:pStyle w:val="Sagnatdelcosdeltext"/>
        <w:numPr>
          <w:ilvl w:val="0"/>
          <w:numId w:val="1"/>
        </w:numPr>
        <w:spacing w:before="120" w:after="0"/>
        <w:jc w:val="both"/>
        <w:rPr>
          <w:rFonts w:ascii="Calibri" w:hAnsi="Calibri" w:cs="Calibri" w:asciiTheme="minorHAnsi" w:hAnsiTheme="minorHAnsi"/>
          <w:color w:val="auto"/>
          <w:sz w:val="22"/>
          <w:szCs w:val="22"/>
          <w:lang w:val="ca-ES"/>
        </w:rPr>
      </w:pPr>
      <w:r>
        <w:rPr>
          <w:rFonts w:cs="Calibri" w:ascii="Calibri" w:hAnsi="Calibri" w:asciiTheme="minorHAnsi" w:hAnsiTheme="minorHAnsi"/>
          <w:color w:val="auto"/>
          <w:sz w:val="22"/>
          <w:szCs w:val="22"/>
          <w:lang w:val="ca-ES"/>
        </w:rPr>
        <w:t xml:space="preserve">Els/les alumnes que faltin un </w:t>
      </w:r>
      <w:r>
        <w:rPr>
          <w:rFonts w:cs="Calibri" w:ascii="Calibri" w:hAnsi="Calibri" w:asciiTheme="minorHAnsi" w:hAnsiTheme="minorHAnsi"/>
          <w:b/>
          <w:color w:val="auto"/>
          <w:sz w:val="22"/>
          <w:szCs w:val="22"/>
          <w:lang w:val="ca-ES"/>
        </w:rPr>
        <w:t>30% de les hores</w:t>
      </w:r>
      <w:r>
        <w:rPr>
          <w:rFonts w:cs="Calibri" w:ascii="Calibri" w:hAnsi="Calibri" w:asciiTheme="minorHAnsi" w:hAnsiTheme="minorHAnsi"/>
          <w:color w:val="auto"/>
          <w:sz w:val="22"/>
          <w:szCs w:val="22"/>
          <w:lang w:val="ca-ES"/>
        </w:rPr>
        <w:t xml:space="preserve"> establertes per a cada UF, no podran optar a l’ avaluació de la Unitat Formativa per aquesta via, i ho hauran de fer mitjançant una </w:t>
      </w:r>
      <w:r>
        <w:rPr>
          <w:rFonts w:cs="Calibri" w:ascii="Calibri" w:hAnsi="Calibri" w:asciiTheme="minorHAnsi" w:hAnsiTheme="minorHAnsi"/>
          <w:b/>
          <w:color w:val="auto"/>
          <w:sz w:val="22"/>
          <w:szCs w:val="22"/>
          <w:lang w:val="ca-ES"/>
        </w:rPr>
        <w:t>segona convocatòria</w:t>
      </w:r>
      <w:r>
        <w:rPr>
          <w:rFonts w:cs="Calibri" w:ascii="Calibri" w:hAnsi="Calibri" w:asciiTheme="minorHAnsi" w:hAnsiTheme="minorHAnsi"/>
          <w:color w:val="auto"/>
          <w:sz w:val="22"/>
          <w:szCs w:val="22"/>
          <w:lang w:val="ca-ES"/>
        </w:rPr>
        <w:t xml:space="preserve">. El 30% de faltes representa 7 hores </w:t>
      </w:r>
    </w:p>
    <w:p>
      <w:pPr>
        <w:pStyle w:val="Sagnatdelcosdeltext"/>
        <w:numPr>
          <w:ilvl w:val="0"/>
          <w:numId w:val="1"/>
        </w:numPr>
        <w:spacing w:before="120" w:after="0"/>
        <w:jc w:val="both"/>
        <w:rPr>
          <w:rFonts w:ascii="Calibri" w:hAnsi="Calibri" w:cs="Calibri" w:asciiTheme="minorHAnsi" w:hAnsiTheme="minorHAnsi"/>
          <w:color w:val="auto"/>
          <w:sz w:val="22"/>
          <w:szCs w:val="22"/>
          <w:lang w:val="ca-ES"/>
        </w:rPr>
      </w:pPr>
      <w:r>
        <w:rPr>
          <w:rFonts w:cs="Calibri" w:ascii="Calibri" w:hAnsi="Calibri" w:asciiTheme="minorHAnsi" w:hAnsiTheme="minorHAnsi"/>
          <w:color w:val="auto"/>
          <w:sz w:val="22"/>
          <w:szCs w:val="22"/>
          <w:lang w:val="ca-ES"/>
        </w:rPr>
        <w:t>A aquesta convocatòria també hauria d'acudir l’alumnat que, encara que hagi complert els requisits d'assistència, no hagi superat el nivell mínim exigit en la Unitat Formativa en l'avaluació contínua</w:t>
      </w:r>
    </w:p>
    <w:p>
      <w:pPr>
        <w:pStyle w:val="Sagnatdelcosdeltext"/>
        <w:tabs>
          <w:tab w:val="clear" w:pos="720"/>
        </w:tabs>
        <w:spacing w:before="120" w:after="0"/>
        <w:ind w:left="360" w:hanging="0"/>
        <w:jc w:val="both"/>
        <w:rPr>
          <w:rFonts w:ascii="Calibri" w:hAnsi="Calibri" w:cs="Calibri" w:asciiTheme="minorHAnsi" w:hAnsiTheme="minorHAnsi"/>
          <w:color w:val="auto"/>
          <w:sz w:val="22"/>
          <w:szCs w:val="22"/>
          <w:lang w:val="ca-ES"/>
        </w:rPr>
      </w:pPr>
      <w:r>
        <w:rPr>
          <w:rFonts w:cs="Calibri" w:ascii="Calibri" w:hAnsi="Calibri"/>
          <w:color w:val="auto"/>
          <w:sz w:val="22"/>
          <w:szCs w:val="22"/>
          <w:lang w:val="ca-ES"/>
        </w:rPr>
      </w:r>
    </w:p>
    <w:p>
      <w:pPr>
        <w:pStyle w:val="ListParagraph"/>
        <w:numPr>
          <w:ilvl w:val="0"/>
          <w:numId w:val="1"/>
        </w:numPr>
        <w:jc w:val="both"/>
        <w:rPr>
          <w:rFonts w:ascii="Calibri" w:hAnsi="Calibri" w:cs="Arial" w:asciiTheme="minorHAnsi" w:hAnsiTheme="minorHAnsi"/>
        </w:rPr>
      </w:pPr>
      <w:r>
        <w:rPr>
          <w:rFonts w:cs="Arial"/>
          <w:b/>
          <w:u w:val="single"/>
        </w:rPr>
        <w:t>Absència en dia d’examen i treballs no entregats:</w:t>
      </w:r>
      <w:r>
        <w:rPr>
          <w:rFonts w:cs="Arial"/>
        </w:rPr>
        <w:t xml:space="preserve"> Si una persona no es presenta el dia de l’examen per causa justificada podrà fer-lo el dia de la recuperació amb valor d’examen. Cal lliurar les activitats en la data acordada. Si les activitats es lliuren un dia tard, es baixarà un punt de la nota de les mateixes. Si s’entreguen tres dies tard es baixaran tres punts de la nota. Si s’entreguen més de tres dies tard la nota serà un cero.</w:t>
      </w:r>
    </w:p>
    <w:p>
      <w:pPr>
        <w:pStyle w:val="ListParagraph"/>
        <w:numPr>
          <w:ilvl w:val="0"/>
          <w:numId w:val="1"/>
        </w:numPr>
        <w:suppressAutoHyphens w:val="true"/>
        <w:jc w:val="both"/>
        <w:textAlignment w:val="baseline"/>
        <w:rPr>
          <w:rFonts w:ascii="Calibri" w:hAnsi="Calibri" w:cs="Arial" w:asciiTheme="minorHAnsi" w:hAnsiTheme="minorHAnsi"/>
          <w:b/>
          <w:b/>
          <w:kern w:val="2"/>
          <w:u w:val="single"/>
          <w:lang w:eastAsia="es-ES"/>
        </w:rPr>
      </w:pPr>
      <w:r>
        <w:rPr>
          <w:rFonts w:cs="Arial"/>
          <w:b/>
          <w:kern w:val="2"/>
          <w:u w:val="single"/>
          <w:lang w:eastAsia="es-ES"/>
        </w:rPr>
        <w:t>Recuperació:</w:t>
      </w:r>
    </w:p>
    <w:p>
      <w:pPr>
        <w:pStyle w:val="ListParagraph"/>
        <w:jc w:val="both"/>
        <w:rPr>
          <w:rFonts w:ascii="Calibri" w:hAnsi="Calibri" w:cs="Arial" w:asciiTheme="minorHAnsi" w:hAnsiTheme="minorHAnsi"/>
        </w:rPr>
      </w:pPr>
      <w:r>
        <w:rPr>
          <w:rFonts w:cs="Arial"/>
        </w:rPr>
        <w:t>Quan la puntuació final d’una UF no arribi a 5, es podrà recuperar al final de cada UF però la nota no podrà superar el 6. Aquesta recuperació constarà d’una prova escrita de tot el que s’hagi fet en la UF, incloses les activitats, les pràctiques... depenent dels continguts de cada UF.</w:t>
      </w:r>
    </w:p>
    <w:p>
      <w:pPr>
        <w:pStyle w:val="ListParagraph"/>
        <w:jc w:val="both"/>
        <w:rPr>
          <w:rFonts w:ascii="Calibri" w:hAnsi="Calibri" w:cs="Arial" w:asciiTheme="minorHAnsi" w:hAnsiTheme="minorHAnsi"/>
          <w:bCs/>
          <w:kern w:val="2"/>
          <w:lang w:eastAsia="es-ES"/>
        </w:rPr>
      </w:pPr>
      <w:r>
        <w:rPr>
          <w:rFonts w:cs="Arial"/>
          <w:bCs/>
          <w:kern w:val="2"/>
          <w:lang w:eastAsia="es-ES"/>
        </w:rPr>
      </w:r>
    </w:p>
    <w:p>
      <w:pPr>
        <w:pStyle w:val="ListParagraph"/>
        <w:jc w:val="both"/>
        <w:rPr>
          <w:rFonts w:ascii="Calibri" w:hAnsi="Calibri" w:cs="Arial" w:asciiTheme="minorHAnsi" w:hAnsiTheme="minorHAnsi"/>
          <w:bCs/>
          <w:kern w:val="2"/>
          <w:lang w:eastAsia="es-ES"/>
        </w:rPr>
      </w:pPr>
      <w:r>
        <w:rPr>
          <w:rFonts w:cs="Arial"/>
          <w:bCs/>
          <w:kern w:val="2"/>
          <w:lang w:eastAsia="es-ES"/>
        </w:rPr>
        <w:t xml:space="preserve">La </w:t>
      </w:r>
      <w:r>
        <w:rPr>
          <w:rFonts w:cs="Arial"/>
          <w:b/>
          <w:bCs/>
          <w:kern w:val="2"/>
          <w:lang w:eastAsia="es-ES"/>
        </w:rPr>
        <w:t>segona convocatòria d’avaluació</w:t>
      </w:r>
      <w:r>
        <w:rPr>
          <w:rFonts w:cs="Arial"/>
          <w:bCs/>
          <w:kern w:val="2"/>
          <w:lang w:eastAsia="es-ES"/>
        </w:rPr>
        <w:t xml:space="preserve"> del Mòdul Professional s’efectuarà al juny i l’alumnat  s’haurà d’examinar de la unitat formativa suspesa sencera. </w:t>
      </w:r>
    </w:p>
    <w:p>
      <w:pPr>
        <w:pStyle w:val="Sagnatdelcosdeltext"/>
        <w:tabs>
          <w:tab w:val="clear" w:pos="720"/>
        </w:tabs>
        <w:spacing w:before="120" w:after="0"/>
        <w:jc w:val="both"/>
        <w:rPr>
          <w:rFonts w:ascii="Calibri" w:hAnsi="Calibri" w:cs="Calibri" w:asciiTheme="minorHAnsi" w:hAnsiTheme="minorHAnsi"/>
          <w:color w:val="auto"/>
          <w:sz w:val="22"/>
          <w:szCs w:val="22"/>
          <w:lang w:val="ca-ES"/>
        </w:rPr>
      </w:pPr>
      <w:r>
        <w:rPr>
          <w:rFonts w:cs="Calibri" w:ascii="Calibri" w:hAnsi="Calibri" w:asciiTheme="minorHAnsi" w:hAnsiTheme="minorHAnsi"/>
          <w:color w:val="auto"/>
          <w:sz w:val="22"/>
          <w:szCs w:val="22"/>
          <w:lang w:val="ca-ES"/>
        </w:rPr>
        <w:t>A aquesta convocatòria també haurien d'acudir l’alumnat que, encara que hagi complert els requisits d'assistència, no hagi superat el nivell mínim exigit en la Unitat Formativa en l'avaluació contínua.</w:t>
      </w:r>
    </w:p>
    <w:p>
      <w:pPr>
        <w:pStyle w:val="Sagnatdelcosdeltext"/>
        <w:tabs>
          <w:tab w:val="clear" w:pos="720"/>
        </w:tabs>
        <w:spacing w:before="120" w:after="0"/>
        <w:ind w:left="720" w:hanging="0"/>
        <w:jc w:val="both"/>
        <w:rPr>
          <w:rFonts w:ascii="Calibri" w:hAnsi="Calibri" w:cs="Calibri" w:asciiTheme="minorHAnsi" w:hAnsiTheme="minorHAnsi"/>
          <w:color w:val="auto"/>
          <w:sz w:val="22"/>
          <w:szCs w:val="22"/>
          <w:lang w:val="ca-ES"/>
        </w:rPr>
      </w:pPr>
      <w:r>
        <w:rPr>
          <w:rFonts w:cs="Calibri" w:ascii="Calibri" w:hAnsi="Calibri"/>
          <w:color w:val="auto"/>
          <w:sz w:val="22"/>
          <w:szCs w:val="22"/>
          <w:lang w:val="ca-ES"/>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rPr>
          <w:rFonts w:ascii="Calibri" w:hAnsi="Calibri" w:cs="Calibri" w:asciiTheme="minorHAnsi" w:hAnsiTheme="minorHAnsi"/>
          <w:b/>
          <w:b/>
        </w:rPr>
      </w:pPr>
      <w:r>
        <w:rPr>
          <w:rFonts w:cs="Calibri"/>
          <w:b/>
        </w:rPr>
      </w:r>
    </w:p>
    <w:p>
      <w:pPr>
        <w:pStyle w:val="Normal"/>
        <w:spacing w:before="0" w:after="120"/>
        <w:rPr>
          <w:rFonts w:ascii="Calibri" w:hAnsi="Calibri" w:cs="Calibri" w:asciiTheme="minorHAnsi" w:hAnsiTheme="minorHAnsi"/>
          <w:b/>
          <w:b/>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77" w:type="dxa"/>
      <w:jc w:val="left"/>
      <w:tblInd w:w="-713" w:type="dxa"/>
      <w:tblLayout w:type="fixed"/>
      <w:tblCellMar>
        <w:top w:w="0" w:type="dxa"/>
        <w:left w:w="108" w:type="dxa"/>
        <w:bottom w:w="0" w:type="dxa"/>
        <w:right w:w="108" w:type="dxa"/>
      </w:tblCellMar>
      <w:tblLook w:firstRow="1" w:noVBand="0" w:lastRow="1" w:firstColumn="1" w:lastColumn="1" w:noHBand="0" w:val="01e0"/>
    </w:tblPr>
    <w:tblGrid>
      <w:gridCol w:w="1842"/>
      <w:gridCol w:w="4199"/>
      <w:gridCol w:w="4136"/>
    </w:tblGrid>
    <w:tr>
      <w:trPr>
        <w:trHeight w:val="180" w:hRule="atLeast"/>
      </w:trPr>
      <w:tc>
        <w:tcPr>
          <w:tcW w:w="1842" w:type="dxa"/>
          <w:vMerge w:val="restart"/>
          <w:tcBorders>
            <w:top w:val="single" w:sz="18" w:space="0" w:color="000000"/>
            <w:left w:val="single" w:sz="18" w:space="0" w:color="000000"/>
            <w:bottom w:val="single" w:sz="18" w:space="0" w:color="000000"/>
          </w:tcBorders>
        </w:tcPr>
        <w:p>
          <w:pPr>
            <w:pStyle w:val="Capalera"/>
            <w:widowControl w:val="false"/>
            <w:rPr>
              <w:rFonts w:ascii="Arial" w:hAnsi="Arial" w:cs="Arial"/>
              <w:sz w:val="20"/>
              <w:szCs w:val="20"/>
            </w:rPr>
          </w:pPr>
          <w:r>
            <w:rPr/>
            <w:drawing>
              <wp:inline distT="0" distB="0" distL="0" distR="0">
                <wp:extent cx="800100" cy="666750"/>
                <wp:effectExtent l="0" t="0" r="0" b="0"/>
                <wp:docPr id="1" name="Imagen 6" descr="LOGO_INS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LOGO_INSTI_1"/>
                        <pic:cNvPicPr>
                          <a:picLocks noChangeAspect="1" noChangeArrowheads="1"/>
                        </pic:cNvPicPr>
                      </pic:nvPicPr>
                      <pic:blipFill>
                        <a:blip r:embed="rId1"/>
                        <a:stretch>
                          <a:fillRect/>
                        </a:stretch>
                      </pic:blipFill>
                      <pic:spPr bwMode="auto">
                        <a:xfrm>
                          <a:off x="0" y="0"/>
                          <a:ext cx="800100" cy="666750"/>
                        </a:xfrm>
                        <a:prstGeom prst="rect">
                          <a:avLst/>
                        </a:prstGeom>
                      </pic:spPr>
                    </pic:pic>
                  </a:graphicData>
                </a:graphic>
              </wp:inline>
            </w:drawing>
          </w:r>
        </w:p>
      </w:tc>
      <w:tc>
        <w:tcPr>
          <w:tcW w:w="8335" w:type="dxa"/>
          <w:gridSpan w:val="2"/>
          <w:tcBorders>
            <w:top w:val="single" w:sz="18" w:space="0" w:color="000000"/>
            <w:right w:val="single" w:sz="18" w:space="0" w:color="000000"/>
          </w:tcBorders>
          <w:vAlign w:val="bottom"/>
        </w:tcPr>
        <w:p>
          <w:pPr>
            <w:pStyle w:val="Capalera"/>
            <w:widowControl w:val="false"/>
            <w:rPr>
              <w:rFonts w:ascii="Arial" w:hAnsi="Arial" w:cs="Arial"/>
              <w:b/>
              <w:b/>
              <w:sz w:val="16"/>
              <w:szCs w:val="16"/>
            </w:rPr>
          </w:pPr>
          <w:r>
            <w:rPr>
              <w:rFonts w:cs="Arial" w:ascii="Arial" w:hAnsi="Arial"/>
              <w:b/>
              <w:sz w:val="16"/>
              <w:szCs w:val="16"/>
            </w:rPr>
          </w:r>
        </w:p>
        <w:p>
          <w:pPr>
            <w:pStyle w:val="Capalera"/>
            <w:widowControl w:val="false"/>
            <w:rPr>
              <w:rFonts w:ascii="Arial" w:hAnsi="Arial" w:cs="Arial"/>
              <w:b/>
              <w:b/>
              <w:sz w:val="16"/>
              <w:szCs w:val="16"/>
            </w:rPr>
          </w:pPr>
          <w:r>
            <w:rPr>
              <w:rFonts w:cs="Arial" w:ascii="Arial" w:hAnsi="Arial"/>
              <w:b/>
              <w:sz w:val="16"/>
              <w:szCs w:val="16"/>
            </w:rPr>
            <w:t>DEPARTAMENT  : Serveis Socioculturals i a la Comunitat</w:t>
          </w:r>
        </w:p>
      </w:tc>
    </w:tr>
    <w:tr>
      <w:trPr>
        <w:trHeight w:val="180" w:hRule="atLeast"/>
      </w:trPr>
      <w:tc>
        <w:tcPr>
          <w:tcW w:w="1842" w:type="dxa"/>
          <w:vMerge w:val="continue"/>
          <w:tcBorders>
            <w:left w:val="single" w:sz="18" w:space="0" w:color="000000"/>
            <w:bottom w:val="single" w:sz="18" w:space="0" w:color="000000"/>
          </w:tcBorders>
        </w:tcPr>
        <w:p>
          <w:pPr>
            <w:pStyle w:val="Capalera"/>
            <w:widowControl w:val="false"/>
            <w:rPr>
              <w:rFonts w:ascii="Arial" w:hAnsi="Arial" w:cs="Arial"/>
              <w:sz w:val="20"/>
              <w:szCs w:val="20"/>
            </w:rPr>
          </w:pPr>
          <w:r>
            <w:rPr>
              <w:rFonts w:cs="Arial" w:ascii="Arial" w:hAnsi="Arial"/>
              <w:sz w:val="20"/>
              <w:szCs w:val="20"/>
            </w:rPr>
          </w:r>
        </w:p>
      </w:tc>
      <w:tc>
        <w:tcPr>
          <w:tcW w:w="8335" w:type="dxa"/>
          <w:gridSpan w:val="2"/>
          <w:tcBorders>
            <w:right w:val="single" w:sz="18" w:space="0" w:color="000000"/>
          </w:tcBorders>
          <w:vAlign w:val="center"/>
        </w:tcPr>
        <w:p>
          <w:pPr>
            <w:pStyle w:val="Capalera"/>
            <w:widowControl w:val="false"/>
            <w:rPr>
              <w:rFonts w:ascii="Arial" w:hAnsi="Arial" w:cs="Arial"/>
              <w:b/>
              <w:b/>
              <w:sz w:val="16"/>
              <w:szCs w:val="16"/>
            </w:rPr>
          </w:pPr>
          <w:r>
            <w:rPr>
              <w:rFonts w:cs="Arial" w:ascii="Arial" w:hAnsi="Arial"/>
              <w:b/>
              <w:sz w:val="16"/>
              <w:szCs w:val="16"/>
            </w:rPr>
            <w:t>CICLE  : CFGS  Educació infantil</w:t>
          </w:r>
        </w:p>
      </w:tc>
    </w:tr>
    <w:tr>
      <w:trPr>
        <w:trHeight w:val="180" w:hRule="atLeast"/>
      </w:trPr>
      <w:tc>
        <w:tcPr>
          <w:tcW w:w="1842" w:type="dxa"/>
          <w:vMerge w:val="continue"/>
          <w:tcBorders>
            <w:left w:val="single" w:sz="18" w:space="0" w:color="000000"/>
            <w:bottom w:val="single" w:sz="18" w:space="0" w:color="000000"/>
          </w:tcBorders>
        </w:tcPr>
        <w:p>
          <w:pPr>
            <w:pStyle w:val="Capalera"/>
            <w:widowControl w:val="false"/>
            <w:rPr>
              <w:rFonts w:ascii="Arial" w:hAnsi="Arial" w:cs="Arial"/>
              <w:sz w:val="20"/>
              <w:szCs w:val="20"/>
            </w:rPr>
          </w:pPr>
          <w:r>
            <w:rPr>
              <w:rFonts w:cs="Arial" w:ascii="Arial" w:hAnsi="Arial"/>
              <w:sz w:val="20"/>
              <w:szCs w:val="20"/>
            </w:rPr>
          </w:r>
        </w:p>
      </w:tc>
      <w:tc>
        <w:tcPr>
          <w:tcW w:w="4199" w:type="dxa"/>
          <w:tcBorders/>
        </w:tcPr>
        <w:p>
          <w:pPr>
            <w:pStyle w:val="Capalera"/>
            <w:widowControl w:val="false"/>
            <w:rPr>
              <w:rFonts w:ascii="Arial" w:hAnsi="Arial" w:cs="Arial"/>
              <w:b/>
              <w:b/>
              <w:sz w:val="16"/>
              <w:szCs w:val="16"/>
            </w:rPr>
          </w:pPr>
          <w:r>
            <w:rPr>
              <w:rFonts w:cs="Arial" w:ascii="Arial" w:hAnsi="Arial"/>
              <w:b/>
              <w:sz w:val="16"/>
              <w:szCs w:val="16"/>
            </w:rPr>
            <w:t>NIVELL : 2n</w:t>
          </w:r>
        </w:p>
      </w:tc>
      <w:tc>
        <w:tcPr>
          <w:tcW w:w="4136" w:type="dxa"/>
          <w:tcBorders>
            <w:right w:val="single" w:sz="18" w:space="0" w:color="000000"/>
          </w:tcBorders>
        </w:tcPr>
        <w:p>
          <w:pPr>
            <w:pStyle w:val="Capalera"/>
            <w:widowControl w:val="false"/>
            <w:rPr>
              <w:rFonts w:ascii="Arial" w:hAnsi="Arial" w:cs="Arial"/>
              <w:b/>
              <w:b/>
              <w:sz w:val="16"/>
              <w:szCs w:val="16"/>
            </w:rPr>
          </w:pPr>
          <w:r>
            <w:rPr>
              <w:rFonts w:cs="Arial" w:ascii="Arial" w:hAnsi="Arial"/>
              <w:b/>
              <w:sz w:val="16"/>
              <w:szCs w:val="16"/>
            </w:rPr>
          </w:r>
        </w:p>
      </w:tc>
    </w:tr>
    <w:tr>
      <w:trPr>
        <w:trHeight w:val="180" w:hRule="atLeast"/>
      </w:trPr>
      <w:tc>
        <w:tcPr>
          <w:tcW w:w="1842" w:type="dxa"/>
          <w:vMerge w:val="continue"/>
          <w:tcBorders>
            <w:left w:val="single" w:sz="18" w:space="0" w:color="000000"/>
            <w:bottom w:val="single" w:sz="18" w:space="0" w:color="000000"/>
          </w:tcBorders>
        </w:tcPr>
        <w:p>
          <w:pPr>
            <w:pStyle w:val="Capalera"/>
            <w:widowControl w:val="false"/>
            <w:rPr>
              <w:rFonts w:ascii="Arial" w:hAnsi="Arial" w:cs="Arial"/>
              <w:sz w:val="20"/>
              <w:szCs w:val="20"/>
            </w:rPr>
          </w:pPr>
          <w:r>
            <w:rPr>
              <w:rFonts w:cs="Arial" w:ascii="Arial" w:hAnsi="Arial"/>
              <w:sz w:val="20"/>
              <w:szCs w:val="20"/>
            </w:rPr>
          </w:r>
        </w:p>
      </w:tc>
      <w:tc>
        <w:tcPr>
          <w:tcW w:w="8335" w:type="dxa"/>
          <w:gridSpan w:val="2"/>
          <w:tcBorders>
            <w:right w:val="single" w:sz="18" w:space="0" w:color="000000"/>
          </w:tcBorders>
        </w:tcPr>
        <w:p>
          <w:pPr>
            <w:pStyle w:val="Capalera"/>
            <w:widowControl w:val="false"/>
            <w:rPr>
              <w:rFonts w:ascii="Arial" w:hAnsi="Arial" w:cs="Arial"/>
              <w:b/>
              <w:b/>
              <w:sz w:val="16"/>
              <w:szCs w:val="16"/>
            </w:rPr>
          </w:pPr>
          <w:r>
            <w:rPr>
              <w:rFonts w:cs="Arial" w:ascii="Arial" w:hAnsi="Arial"/>
              <w:b/>
              <w:sz w:val="16"/>
              <w:szCs w:val="16"/>
            </w:rPr>
            <w:t>MÒDUL: MP 09 PRIMERS AUXILIS</w:t>
          </w:r>
        </w:p>
      </w:tc>
    </w:tr>
    <w:tr>
      <w:trPr>
        <w:trHeight w:val="35" w:hRule="atLeast"/>
      </w:trPr>
      <w:tc>
        <w:tcPr>
          <w:tcW w:w="1842" w:type="dxa"/>
          <w:vMerge w:val="continue"/>
          <w:tcBorders>
            <w:left w:val="single" w:sz="18" w:space="0" w:color="000000"/>
            <w:bottom w:val="single" w:sz="18" w:space="0" w:color="000000"/>
          </w:tcBorders>
        </w:tcPr>
        <w:p>
          <w:pPr>
            <w:pStyle w:val="Capalera"/>
            <w:widowControl w:val="false"/>
            <w:rPr>
              <w:rFonts w:ascii="Arial" w:hAnsi="Arial" w:cs="Arial"/>
              <w:sz w:val="20"/>
              <w:szCs w:val="20"/>
            </w:rPr>
          </w:pPr>
          <w:r>
            <w:rPr>
              <w:rFonts w:cs="Arial" w:ascii="Arial" w:hAnsi="Arial"/>
              <w:sz w:val="20"/>
              <w:szCs w:val="20"/>
            </w:rPr>
          </w:r>
        </w:p>
      </w:tc>
      <w:tc>
        <w:tcPr>
          <w:tcW w:w="8335" w:type="dxa"/>
          <w:gridSpan w:val="2"/>
          <w:tcBorders>
            <w:bottom w:val="single" w:sz="18" w:space="0" w:color="000000"/>
            <w:right w:val="single" w:sz="18" w:space="0" w:color="000000"/>
          </w:tcBorders>
        </w:tcPr>
        <w:p>
          <w:pPr>
            <w:pStyle w:val="Capalera"/>
            <w:widowControl w:val="false"/>
            <w:rPr>
              <w:rFonts w:ascii="Arial" w:hAnsi="Arial" w:cs="Arial"/>
              <w:b/>
              <w:b/>
              <w:sz w:val="16"/>
              <w:szCs w:val="16"/>
            </w:rPr>
          </w:pPr>
          <w:r>
            <w:rPr>
              <w:rFonts w:cs="Arial" w:ascii="Arial" w:hAnsi="Arial"/>
              <w:b/>
              <w:sz w:val="16"/>
              <w:szCs w:val="16"/>
            </w:rPr>
            <w:t>CURS: 202</w:t>
          </w:r>
          <w:r>
            <w:rPr>
              <w:rFonts w:cs="Arial" w:ascii="Arial" w:hAnsi="Arial"/>
              <w:b/>
              <w:sz w:val="16"/>
              <w:szCs w:val="16"/>
            </w:rPr>
            <w:t>2</w:t>
          </w:r>
          <w:r>
            <w:rPr>
              <w:rFonts w:cs="Arial" w:ascii="Arial" w:hAnsi="Arial"/>
              <w:b/>
              <w:sz w:val="16"/>
              <w:szCs w:val="16"/>
            </w:rPr>
            <w:t>-202</w:t>
          </w:r>
          <w:r>
            <w:rPr>
              <w:rFonts w:cs="Arial" w:ascii="Arial" w:hAnsi="Arial"/>
              <w:b/>
              <w:sz w:val="16"/>
              <w:szCs w:val="16"/>
            </w:rPr>
            <w:t>3</w:t>
          </w:r>
        </w:p>
        <w:p>
          <w:pPr>
            <w:pStyle w:val="Capalera"/>
            <w:widowControl w:val="false"/>
            <w:rPr>
              <w:rFonts w:ascii="Arial" w:hAnsi="Arial" w:cs="Arial"/>
              <w:b/>
              <w:b/>
              <w:sz w:val="16"/>
              <w:szCs w:val="16"/>
            </w:rPr>
          </w:pPr>
          <w:r>
            <w:rPr>
              <w:rFonts w:cs="Arial" w:ascii="Arial" w:hAnsi="Arial"/>
              <w:b/>
              <w:sz w:val="16"/>
              <w:szCs w:val="16"/>
            </w:rPr>
          </w:r>
        </w:p>
      </w:tc>
    </w:tr>
  </w:tbl>
  <w:p>
    <w:pPr>
      <w:pStyle w:val="Capal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4a24"/>
    <w:pPr>
      <w:widowControl/>
      <w:suppressAutoHyphens w:val="true"/>
      <w:bidi w:val="0"/>
      <w:spacing w:before="0" w:after="120"/>
      <w:ind w:left="714" w:hanging="357"/>
      <w:jc w:val="left"/>
    </w:pPr>
    <w:rPr>
      <w:rFonts w:ascii="Calibri" w:hAnsi="Calibri" w:eastAsia="Calibri" w:cs="Times New Roman"/>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c976c8"/>
    <w:rPr>
      <w:lang w:val="es-ES"/>
    </w:rPr>
  </w:style>
  <w:style w:type="character" w:styleId="PiedepginaCar" w:customStyle="1">
    <w:name w:val="Pie de página Car"/>
    <w:link w:val="Piedepgina"/>
    <w:uiPriority w:val="99"/>
    <w:qFormat/>
    <w:rsid w:val="00c976c8"/>
    <w:rPr>
      <w:lang w:val="es-ES"/>
    </w:rPr>
  </w:style>
  <w:style w:type="character" w:styleId="TextodegloboCar" w:customStyle="1">
    <w:name w:val="Texto de globo Car"/>
    <w:link w:val="Textodeglobo"/>
    <w:uiPriority w:val="99"/>
    <w:semiHidden/>
    <w:qFormat/>
    <w:rsid w:val="00c976c8"/>
    <w:rPr>
      <w:rFonts w:ascii="Tahoma" w:hAnsi="Tahoma" w:cs="Tahoma"/>
      <w:sz w:val="16"/>
      <w:szCs w:val="16"/>
      <w:lang w:val="es-ES"/>
    </w:rPr>
  </w:style>
  <w:style w:type="character" w:styleId="A1" w:customStyle="1">
    <w:name w:val="A1"/>
    <w:uiPriority w:val="99"/>
    <w:qFormat/>
    <w:rsid w:val="00b46393"/>
    <w:rPr>
      <w:rFonts w:cs="Amplitude Bold"/>
      <w:b/>
      <w:bCs/>
      <w:color w:val="221E1F"/>
      <w:sz w:val="86"/>
      <w:szCs w:val="86"/>
    </w:rPr>
  </w:style>
  <w:style w:type="character" w:styleId="SangradetextonormalCar" w:customStyle="1">
    <w:name w:val="Sangría de texto normal Car"/>
    <w:link w:val="Sangradetextonormal"/>
    <w:uiPriority w:val="99"/>
    <w:qFormat/>
    <w:rsid w:val="003b28d4"/>
    <w:rPr>
      <w:rFonts w:ascii="Arial" w:hAnsi="Arial" w:eastAsia="Times New Roman" w:cs="Arial"/>
      <w:color w:val="000000"/>
      <w:sz w:val="24"/>
      <w:szCs w:val="24"/>
      <w:lang w:val="es-ES_tradnl" w:eastAsia="es-ES"/>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Capaleraipeu">
    <w:name w:val="Capçalera i peu"/>
    <w:basedOn w:val="Normal"/>
    <w:qFormat/>
    <w:pPr/>
    <w:rPr/>
  </w:style>
  <w:style w:type="paragraph" w:styleId="Capalera">
    <w:name w:val="Header"/>
    <w:basedOn w:val="Normal"/>
    <w:link w:val="EncabezadoCar"/>
    <w:unhideWhenUsed/>
    <w:rsid w:val="00c976c8"/>
    <w:pPr>
      <w:tabs>
        <w:tab w:val="clear" w:pos="708"/>
        <w:tab w:val="center" w:pos="4252" w:leader="none"/>
        <w:tab w:val="right" w:pos="8504" w:leader="none"/>
      </w:tabs>
      <w:spacing w:before="0" w:after="0"/>
    </w:pPr>
    <w:rPr/>
  </w:style>
  <w:style w:type="paragraph" w:styleId="Peudepgina">
    <w:name w:val="Footer"/>
    <w:basedOn w:val="Normal"/>
    <w:link w:val="PiedepginaCar"/>
    <w:uiPriority w:val="99"/>
    <w:unhideWhenUsed/>
    <w:rsid w:val="00c976c8"/>
    <w:pPr>
      <w:tabs>
        <w:tab w:val="clear" w:pos="708"/>
        <w:tab w:val="center" w:pos="4252" w:leader="none"/>
        <w:tab w:val="right" w:pos="8504" w:leader="none"/>
      </w:tabs>
      <w:spacing w:before="0" w:after="0"/>
    </w:pPr>
    <w:rPr/>
  </w:style>
  <w:style w:type="paragraph" w:styleId="BalloonText">
    <w:name w:val="Balloon Text"/>
    <w:basedOn w:val="Normal"/>
    <w:link w:val="TextodegloboCar"/>
    <w:uiPriority w:val="99"/>
    <w:semiHidden/>
    <w:unhideWhenUsed/>
    <w:qFormat/>
    <w:rsid w:val="00c976c8"/>
    <w:pPr>
      <w:spacing w:before="0" w:after="0"/>
    </w:pPr>
    <w:rPr>
      <w:rFonts w:ascii="Tahoma" w:hAnsi="Tahoma" w:cs="Tahoma"/>
      <w:sz w:val="16"/>
      <w:szCs w:val="16"/>
    </w:rPr>
  </w:style>
  <w:style w:type="paragraph" w:styleId="ListParagraph">
    <w:name w:val="List Paragraph"/>
    <w:basedOn w:val="Normal"/>
    <w:uiPriority w:val="34"/>
    <w:qFormat/>
    <w:rsid w:val="00e16340"/>
    <w:pPr>
      <w:spacing w:lineRule="auto" w:line="276" w:before="0" w:after="200"/>
      <w:ind w:left="720" w:hanging="0"/>
      <w:contextualSpacing/>
    </w:pPr>
    <w:rPr/>
  </w:style>
  <w:style w:type="paragraph" w:styleId="Sagnatdelcosdeltext">
    <w:name w:val="Body Text Indent"/>
    <w:basedOn w:val="Normal"/>
    <w:link w:val="SangradetextonormalCar"/>
    <w:uiPriority w:val="99"/>
    <w:rsid w:val="003b28d4"/>
    <w:pPr>
      <w:tabs>
        <w:tab w:val="clear" w:pos="708"/>
        <w:tab w:val="left" w:pos="720" w:leader="none"/>
      </w:tabs>
      <w:spacing w:before="0" w:after="0"/>
      <w:ind w:left="708" w:hanging="0"/>
    </w:pPr>
    <w:rPr>
      <w:rFonts w:ascii="Arial" w:hAnsi="Arial" w:eastAsia="Times New Roman" w:cs="Arial"/>
      <w:color w:val="000000"/>
      <w:sz w:val="24"/>
      <w:szCs w:val="24"/>
      <w:lang w:val="es-ES_tradnl" w:eastAsia="es-ES"/>
    </w:rPr>
  </w:style>
  <w:style w:type="paragraph" w:styleId="NoSpacing">
    <w:name w:val="No Spacing"/>
    <w:uiPriority w:val="1"/>
    <w:qFormat/>
    <w:rsid w:val="00bc3557"/>
    <w:pPr>
      <w:widowControl/>
      <w:suppressAutoHyphens w:val="true"/>
      <w:bidi w:val="0"/>
      <w:spacing w:before="0" w:after="0"/>
      <w:ind w:left="714" w:hanging="357"/>
      <w:jc w:val="left"/>
    </w:pPr>
    <w:rPr>
      <w:rFonts w:ascii="Calibri" w:hAnsi="Calibri" w:eastAsia="Calibri" w:cs="Times New Roman"/>
      <w:color w:val="auto"/>
      <w:kern w:val="0"/>
      <w:sz w:val="22"/>
      <w:szCs w:val="22"/>
      <w:lang w:val="ca-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fb6f42"/>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LibreOffice/7.0.6.2$Windows_X86_64 LibreOffice_project/144abb84a525d8e30c9dbbefa69cbbf2d8d4ae3b</Application>
  <AppVersion>15.0000</AppVersion>
  <Pages>3</Pages>
  <Words>665</Words>
  <Characters>3370</Characters>
  <CharactersWithSpaces>3988</CharactersWithSpaces>
  <Paragraphs>39</Paragraphs>
  <Company>INS Can Vilumara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2021-09-18T11:59:00Z</dcterms:created>
  <dc:creator>profe</dc:creator>
  <dc:description/>
  <dc:language>ca-ES</dc:language>
  <cp:lastModifiedBy/>
  <cp:lastPrinted>2019-09-17T13:52:00Z</cp:lastPrinted>
  <dcterms:modified xsi:type="dcterms:W3CDTF">2022-09-03T20:34:34Z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