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360" w:lineRule="auto"/>
        <w:ind w:left="720" w:firstLine="0"/>
        <w:jc w:val="center"/>
        <w:rPr/>
      </w:pPr>
      <w:r w:rsidDel="00000000" w:rsidR="00000000" w:rsidRPr="00000000">
        <w:rPr>
          <w:rtl w:val="0"/>
        </w:rPr>
        <w:t xml:space="preserve">SALUT MENTAL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200" w:line="36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Anomena cinc malalties o trastorns mentals.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200" w:line="36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“Les drogues són el detonant principal per patir malalties i trastorns mentals”. Cert o fals? Justifiqueu la resposta.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200" w:line="36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En general, quin col·lectiu (homes o dones) acostuma a presentar més símptomes relacionats amb afeccions mentals?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200" w:line="36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Digues tres malalties o trastorns presents en l’adolescència.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00" w:line="36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“Qualsevol persona pot patir una malaltia mental”. Cert o fals? digues quines poden ser les causes.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00" w:line="36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Quins professionals diagnostiquen i tracten les malalties mentals?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200" w:line="36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A qui hem de demanar ajuda davant d’una possible malaltia mental?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00" w:line="36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“Totes les malalties i trastorns mentals tenen cura”. Cert o fals?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00" w:line="36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“Els infants, de 0 a 12 anys, no poden patir/desenvolupar malalties o trastorns mentals”. Cert o fals?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00" w:line="36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Quins són els dos trastorns de comportament alimentari més coneguts?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