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both"/>
        <w:rPr>
          <w:rFonts w:ascii="Comfortaa" w:cs="Comfortaa" w:eastAsia="Comfortaa" w:hAnsi="Comfortaa"/>
          <w:b w:val="1"/>
          <w:sz w:val="36"/>
          <w:szCs w:val="36"/>
        </w:rPr>
      </w:pP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u w:val="single"/>
          <w:rtl w:val="0"/>
        </w:rPr>
        <w:t xml:space="preserve">TASCA 4</w:t>
      </w: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rtl w:val="0"/>
        </w:rPr>
        <w:t xml:space="preserve">: ALIMENTACIÓ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Una part important dels viatges és la gastronomia, aleshores, serà important recomanar bars i restaurants per anar a dinar i sopar, tenint present el pressupost màxim que teniu i que potser heu agafat algun àpat en el lloc on dormiu. 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hyperlink r:id="rId6">
        <w:r w:rsidDel="00000000" w:rsidR="00000000" w:rsidRPr="00000000">
          <w:rPr>
            <w:rFonts w:ascii="Comfortaa Medium" w:cs="Comfortaa Medium" w:eastAsia="Comfortaa Medium" w:hAnsi="Comfortaa Medium"/>
            <w:color w:val="0000ff"/>
            <w:sz w:val="24"/>
            <w:szCs w:val="24"/>
            <w:u w:val="single"/>
            <w:rtl w:val="0"/>
          </w:rPr>
          <w:t xml:space="preserve">TripAdvisor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Comfortaa Medium" w:cs="Comfortaa Medium" w:eastAsia="Comfortaa Medium" w:hAnsi="Comfortaa Medium"/>
          <w:sz w:val="32"/>
          <w:szCs w:val="32"/>
        </w:rPr>
      </w:pPr>
      <w:hyperlink r:id="rId7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The fork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Una vegada feta la recerca, ompliu el FULL 4: “Alimentació” 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jc w:val="both"/>
        <w:rPr/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</w:rPr>
        <w:drawing>
          <wp:inline distB="114300" distT="114300" distL="114300" distR="114300">
            <wp:extent cx="5731200" cy="4203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tripadvisor.es/Restaurants" TargetMode="External"/><Relationship Id="rId7" Type="http://schemas.openxmlformats.org/officeDocument/2006/relationships/hyperlink" Target="http://www.thefork.es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